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E8441E" w:rsidRPr="006A67DF" w:rsidRDefault="00E8441E" w:rsidP="00BB616D">
      <w:pPr>
        <w:numPr>
          <w:ilvl w:val="0"/>
          <w:numId w:val="19"/>
        </w:numPr>
        <w:suppressAutoHyphens/>
        <w:rPr>
          <w:rFonts w:ascii="Arial" w:hAnsi="Arial" w:cs="Arial"/>
          <w:szCs w:val="22"/>
        </w:rPr>
      </w:pPr>
      <w:r w:rsidRPr="006A67DF">
        <w:rPr>
          <w:rFonts w:ascii="Arial" w:hAnsi="Arial" w:cs="Arial"/>
          <w:szCs w:val="22"/>
        </w:rPr>
        <w:t>Ustawa z dnia 20 lipca 2018 roku o przekształceniu prawa użytkowania wieczystego gruntów zabudowanych na cele mieszkaniowe w prawo własności tych gruntów</w:t>
      </w:r>
      <w:r>
        <w:rPr>
          <w:rFonts w:ascii="Arial" w:hAnsi="Arial" w:cs="Arial"/>
          <w:szCs w:val="22"/>
        </w:rPr>
        <w:t xml:space="preserve">,        </w:t>
      </w:r>
    </w:p>
    <w:p w:rsidR="00E8441E" w:rsidRPr="00BB616D" w:rsidRDefault="00E8441E" w:rsidP="00BB616D">
      <w:pPr>
        <w:keepNext/>
        <w:numPr>
          <w:ilvl w:val="0"/>
          <w:numId w:val="19"/>
        </w:numPr>
        <w:suppressAutoHyphens/>
        <w:rPr>
          <w:rFonts w:ascii="Arial" w:hAnsi="Arial" w:cs="Arial"/>
          <w:szCs w:val="22"/>
        </w:rPr>
      </w:pPr>
      <w:r w:rsidRPr="001D59C7">
        <w:rPr>
          <w:rFonts w:ascii="Arial" w:hAnsi="Arial" w:cs="Arial"/>
          <w:szCs w:val="22"/>
        </w:rPr>
        <w:t>Uchwała Nr LXI/1369/2018 Rady Miasta Kielce z dnia 8 października 2018 roku  w sprawie określenia warunków udzielenia bonifikaty od opłaty za przekształcenie prawa użytkowania wieczystego gruntów zabudowanych na cele mieszkaniowe w prawo własności tych gruntów</w:t>
      </w:r>
      <w:r w:rsidR="001D59C7" w:rsidRPr="001D59C7">
        <w:rPr>
          <w:rFonts w:ascii="Arial" w:hAnsi="Arial" w:cs="Arial"/>
          <w:szCs w:val="22"/>
        </w:rPr>
        <w:t xml:space="preserve">, </w:t>
      </w:r>
      <w:r w:rsidR="001D59C7" w:rsidRPr="001D59C7">
        <w:rPr>
          <w:rFonts w:ascii="Arial" w:hAnsi="Arial" w:cs="Arial"/>
        </w:rPr>
        <w:t xml:space="preserve">zmieniona uchwałą Nr VII/103/2019 z dnia 21 lutego 2019 roku </w:t>
      </w:r>
      <w:r w:rsidR="008E2D8B">
        <w:rPr>
          <w:rFonts w:ascii="Arial" w:hAnsi="Arial" w:cs="Arial"/>
        </w:rPr>
        <w:t>oraz uchwałą Nr XXV/459/2020 z dnia 16 stycznia 2020 roku</w:t>
      </w:r>
    </w:p>
    <w:p w:rsidR="003D5C2C" w:rsidRDefault="00BB616D" w:rsidP="00BB616D">
      <w:pPr>
        <w:keepNext/>
        <w:numPr>
          <w:ilvl w:val="0"/>
          <w:numId w:val="19"/>
        </w:numPr>
        <w:suppressAutoHyphens/>
        <w:rPr>
          <w:rFonts w:ascii="Arial" w:hAnsi="Arial" w:cs="Arial"/>
          <w:szCs w:val="22"/>
        </w:rPr>
      </w:pPr>
      <w:r w:rsidRPr="00BB616D">
        <w:rPr>
          <w:rFonts w:ascii="Arial" w:hAnsi="Arial" w:cs="Arial"/>
        </w:rPr>
        <w:t xml:space="preserve">Zarządzenie Nr 23/2020 Wojewody Świętokrzyskiego z dnia 26 lutego </w:t>
      </w:r>
      <w:r>
        <w:rPr>
          <w:rFonts w:ascii="Arial" w:hAnsi="Arial" w:cs="Arial"/>
        </w:rPr>
        <w:t>2020 roku w sprawie ok</w:t>
      </w:r>
      <w:r w:rsidRPr="00BB616D">
        <w:rPr>
          <w:rFonts w:ascii="Arial" w:hAnsi="Arial" w:cs="Arial"/>
          <w:szCs w:val="22"/>
        </w:rPr>
        <w:t>reślenia warunków udzielenia bonifikaty od opłaty za przekształcenie prawa użytkowania wieczystego gruntów zabudowanych na cele mieszkaniowe w prawo własności tych gruntów</w:t>
      </w:r>
      <w:r>
        <w:rPr>
          <w:rFonts w:ascii="Arial" w:hAnsi="Arial" w:cs="Arial"/>
          <w:szCs w:val="22"/>
        </w:rPr>
        <w:t>, stanowiących własność Skarbu Państwa, położonych na terenie Gminy Kielce</w:t>
      </w:r>
    </w:p>
    <w:p w:rsidR="00BB616D" w:rsidRPr="00BB616D" w:rsidRDefault="00BB616D" w:rsidP="00BB616D">
      <w:pPr>
        <w:keepNext/>
        <w:suppressAutoHyphens/>
        <w:ind w:left="42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E8441E" w:rsidRDefault="003D5C2C" w:rsidP="00E8441E">
      <w:pPr>
        <w:pStyle w:val="Tekstpodstawowywcity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27C2">
        <w:rPr>
          <w:rFonts w:ascii="Arial" w:hAnsi="Arial" w:cs="Arial"/>
          <w:sz w:val="22"/>
          <w:szCs w:val="22"/>
        </w:rPr>
        <w:t>Wydział</w:t>
      </w:r>
      <w:r w:rsidR="00E8441E">
        <w:rPr>
          <w:rFonts w:ascii="Arial" w:hAnsi="Arial" w:cs="Arial"/>
          <w:sz w:val="22"/>
          <w:szCs w:val="22"/>
        </w:rPr>
        <w:t xml:space="preserve"> Gospodarki Nieruchomościami 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>Referat</w:t>
      </w:r>
      <w:r w:rsidR="00E8441E">
        <w:rPr>
          <w:rFonts w:ascii="Arial" w:hAnsi="Arial" w:cs="Arial"/>
          <w:sz w:val="22"/>
          <w:szCs w:val="22"/>
          <w:lang w:val="pl-PL"/>
        </w:rPr>
        <w:t xml:space="preserve"> Obrotu Prawa Użytkowania Wieczystego 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462078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462078">
        <w:rPr>
          <w:rFonts w:ascii="Arial" w:hAnsi="Arial" w:cs="Arial"/>
          <w:sz w:val="22"/>
          <w:szCs w:val="22"/>
          <w:lang w:val="pl-PL"/>
        </w:rPr>
        <w:t>Grażyna Najgeburska, Łukasz Mikulski, Katarzyna Kulczycka</w:t>
      </w:r>
      <w:r>
        <w:rPr>
          <w:rFonts w:ascii="Arial" w:hAnsi="Arial" w:cs="Arial"/>
          <w:sz w:val="22"/>
          <w:szCs w:val="22"/>
          <w:lang w:val="pl-PL"/>
        </w:rPr>
        <w:t>, Ryszard Pazera</w:t>
      </w:r>
      <w:r w:rsidRPr="00462078">
        <w:rPr>
          <w:rFonts w:ascii="Arial" w:hAnsi="Arial" w:cs="Arial"/>
          <w:sz w:val="22"/>
          <w:szCs w:val="22"/>
          <w:lang w:val="pl-PL"/>
        </w:rPr>
        <w:t xml:space="preserve"> </w:t>
      </w:r>
      <w:r w:rsidR="00637275"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 w:rsidRPr="00462078">
        <w:rPr>
          <w:rFonts w:ascii="Arial" w:hAnsi="Arial" w:cs="Arial"/>
          <w:sz w:val="22"/>
          <w:szCs w:val="22"/>
          <w:lang w:val="pl-PL"/>
        </w:rPr>
        <w:t>(w o</w:t>
      </w:r>
      <w:bookmarkStart w:id="0" w:name="_GoBack"/>
      <w:bookmarkEnd w:id="0"/>
      <w:r w:rsidRPr="00462078">
        <w:rPr>
          <w:rFonts w:ascii="Arial" w:hAnsi="Arial" w:cs="Arial"/>
          <w:sz w:val="22"/>
          <w:szCs w:val="22"/>
          <w:lang w:val="pl-PL"/>
        </w:rPr>
        <w:t xml:space="preserve">dniesieniu do nieruchomości Gminy Kielce), Małgorzata </w:t>
      </w:r>
      <w:proofErr w:type="spellStart"/>
      <w:r w:rsidRPr="00462078">
        <w:rPr>
          <w:rFonts w:ascii="Arial" w:hAnsi="Arial" w:cs="Arial"/>
          <w:sz w:val="22"/>
          <w:szCs w:val="22"/>
          <w:lang w:val="pl-PL"/>
        </w:rPr>
        <w:t>Durlik</w:t>
      </w:r>
      <w:proofErr w:type="spellEnd"/>
      <w:r w:rsidRPr="00462078">
        <w:rPr>
          <w:rFonts w:ascii="Arial" w:hAnsi="Arial" w:cs="Arial"/>
          <w:sz w:val="22"/>
          <w:szCs w:val="22"/>
          <w:lang w:val="pl-PL"/>
        </w:rPr>
        <w:t>-Adamczyk, Jowita Goraj (w odniesieniu do nieruchomości Skarbu Państwa)</w:t>
      </w:r>
    </w:p>
    <w:p w:rsidR="00020206" w:rsidRPr="00462078" w:rsidRDefault="0002020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462078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462078">
        <w:rPr>
          <w:rFonts w:ascii="Arial" w:hAnsi="Arial" w:cs="Arial"/>
          <w:sz w:val="22"/>
          <w:szCs w:val="22"/>
          <w:lang w:val="pl-PL"/>
        </w:rPr>
        <w:t xml:space="preserve">25-659 Kielce, ul. Strycharska 6, pok. </w:t>
      </w:r>
      <w:r>
        <w:rPr>
          <w:rFonts w:ascii="Arial" w:hAnsi="Arial" w:cs="Arial"/>
          <w:sz w:val="22"/>
          <w:szCs w:val="22"/>
          <w:lang w:val="pl-PL"/>
        </w:rPr>
        <w:t xml:space="preserve">302, </w:t>
      </w:r>
      <w:r w:rsidRPr="00462078">
        <w:rPr>
          <w:rFonts w:ascii="Arial" w:hAnsi="Arial" w:cs="Arial"/>
          <w:sz w:val="22"/>
          <w:szCs w:val="22"/>
          <w:lang w:val="pl-PL"/>
        </w:rPr>
        <w:t>317, 318 (w odniesieniu do nieruchomości Gminy Kielce) i 301 (w odniesieniu do nieruchomości Skarbu Państwa)</w:t>
      </w:r>
    </w:p>
    <w:p w:rsidR="00020206" w:rsidRPr="00462078" w:rsidRDefault="0002020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462078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</w:t>
      </w:r>
      <w:r w:rsidR="00462078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462078" w:rsidRPr="009C7582" w:rsidRDefault="00462078" w:rsidP="00462078">
      <w:pPr>
        <w:pStyle w:val="Tekstpodstawowywcity21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de-DE"/>
        </w:rPr>
      </w:pPr>
      <w:r w:rsidRPr="009C7582">
        <w:rPr>
          <w:rFonts w:ascii="Arial" w:hAnsi="Arial" w:cs="Arial"/>
          <w:sz w:val="22"/>
          <w:szCs w:val="22"/>
          <w:lang w:val="de-DE"/>
        </w:rPr>
        <w:t>(41) 36 76</w:t>
      </w:r>
      <w:r>
        <w:rPr>
          <w:rFonts w:ascii="Arial" w:hAnsi="Arial" w:cs="Arial"/>
          <w:sz w:val="22"/>
          <w:szCs w:val="22"/>
          <w:lang w:val="de-DE"/>
        </w:rPr>
        <w:t> </w:t>
      </w:r>
      <w:r w:rsidRPr="009C7582">
        <w:rPr>
          <w:rFonts w:ascii="Arial" w:hAnsi="Arial" w:cs="Arial"/>
          <w:sz w:val="22"/>
          <w:szCs w:val="22"/>
          <w:lang w:val="de-DE"/>
        </w:rPr>
        <w:t>7</w:t>
      </w:r>
      <w:r>
        <w:rPr>
          <w:rFonts w:ascii="Arial" w:hAnsi="Arial" w:cs="Arial"/>
          <w:sz w:val="22"/>
          <w:szCs w:val="22"/>
          <w:lang w:val="de-DE"/>
        </w:rPr>
        <w:t xml:space="preserve">49, </w:t>
      </w:r>
      <w:r w:rsidRPr="009C7582">
        <w:rPr>
          <w:rFonts w:ascii="Arial" w:hAnsi="Arial" w:cs="Arial"/>
          <w:sz w:val="22"/>
          <w:szCs w:val="22"/>
          <w:lang w:val="de-DE"/>
        </w:rPr>
        <w:t>36 76</w:t>
      </w:r>
      <w:r>
        <w:rPr>
          <w:rFonts w:ascii="Arial" w:hAnsi="Arial" w:cs="Arial"/>
          <w:sz w:val="22"/>
          <w:szCs w:val="22"/>
          <w:lang w:val="de-DE"/>
        </w:rPr>
        <w:t> </w:t>
      </w:r>
      <w:r w:rsidRPr="009C7582">
        <w:rPr>
          <w:rFonts w:ascii="Arial" w:hAnsi="Arial" w:cs="Arial"/>
          <w:sz w:val="22"/>
          <w:szCs w:val="22"/>
          <w:lang w:val="de-DE"/>
        </w:rPr>
        <w:t>750</w:t>
      </w:r>
      <w:r>
        <w:rPr>
          <w:rFonts w:ascii="Arial" w:hAnsi="Arial" w:cs="Arial"/>
          <w:sz w:val="22"/>
          <w:szCs w:val="22"/>
          <w:lang w:val="de-DE"/>
        </w:rPr>
        <w:t xml:space="preserve">, 36 76 392 </w:t>
      </w:r>
      <w:r w:rsidRPr="009C7582">
        <w:rPr>
          <w:rFonts w:ascii="Arial" w:hAnsi="Arial" w:cs="Arial"/>
          <w:sz w:val="22"/>
          <w:szCs w:val="22"/>
          <w:lang w:val="de-DE"/>
        </w:rPr>
        <w:t xml:space="preserve">– w </w:t>
      </w:r>
      <w:proofErr w:type="spellStart"/>
      <w:r w:rsidRPr="009C7582">
        <w:rPr>
          <w:rFonts w:ascii="Arial" w:hAnsi="Arial" w:cs="Arial"/>
          <w:sz w:val="22"/>
          <w:szCs w:val="22"/>
          <w:lang w:val="de-DE"/>
        </w:rPr>
        <w:t>odniesieniu</w:t>
      </w:r>
      <w:proofErr w:type="spellEnd"/>
      <w:r w:rsidRPr="009C7582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9C7582">
        <w:rPr>
          <w:rFonts w:ascii="Arial" w:hAnsi="Arial" w:cs="Arial"/>
          <w:sz w:val="22"/>
          <w:szCs w:val="22"/>
          <w:lang w:val="de-DE"/>
        </w:rPr>
        <w:t>nieruchomości</w:t>
      </w:r>
      <w:proofErr w:type="spellEnd"/>
      <w:r w:rsidRPr="009C75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C7582">
        <w:rPr>
          <w:rFonts w:ascii="Arial" w:hAnsi="Arial" w:cs="Arial"/>
          <w:sz w:val="22"/>
          <w:szCs w:val="22"/>
          <w:lang w:val="de-DE"/>
        </w:rPr>
        <w:t>Gminy</w:t>
      </w:r>
      <w:proofErr w:type="spellEnd"/>
      <w:r w:rsidRPr="009C7582">
        <w:rPr>
          <w:rFonts w:ascii="Arial" w:hAnsi="Arial" w:cs="Arial"/>
          <w:sz w:val="22"/>
          <w:szCs w:val="22"/>
          <w:lang w:val="de-DE"/>
        </w:rPr>
        <w:t xml:space="preserve"> Kielce, </w:t>
      </w:r>
    </w:p>
    <w:p w:rsidR="00462078" w:rsidRDefault="00462078" w:rsidP="00462078">
      <w:pPr>
        <w:pStyle w:val="Tekstpodstawowywcity21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de-DE"/>
        </w:rPr>
      </w:pPr>
      <w:r w:rsidRPr="009C7582">
        <w:rPr>
          <w:rFonts w:ascii="Arial" w:hAnsi="Arial" w:cs="Arial"/>
          <w:sz w:val="22"/>
          <w:szCs w:val="22"/>
          <w:lang w:val="de-DE"/>
        </w:rPr>
        <w:t>(41) 36 76</w:t>
      </w:r>
      <w:r w:rsidR="00004A35">
        <w:rPr>
          <w:rFonts w:ascii="Arial" w:hAnsi="Arial" w:cs="Arial"/>
          <w:sz w:val="22"/>
          <w:szCs w:val="22"/>
          <w:lang w:val="de-DE"/>
        </w:rPr>
        <w:t> </w:t>
      </w:r>
      <w:r w:rsidRPr="009C7582">
        <w:rPr>
          <w:rFonts w:ascii="Arial" w:hAnsi="Arial" w:cs="Arial"/>
          <w:sz w:val="22"/>
          <w:szCs w:val="22"/>
          <w:lang w:val="de-DE"/>
        </w:rPr>
        <w:t>540</w:t>
      </w:r>
      <w:r w:rsidR="00004A35">
        <w:rPr>
          <w:rFonts w:ascii="Arial" w:hAnsi="Arial" w:cs="Arial"/>
          <w:sz w:val="22"/>
          <w:szCs w:val="22"/>
          <w:lang w:val="de-DE"/>
        </w:rPr>
        <w:t xml:space="preserve"> </w:t>
      </w:r>
      <w:r w:rsidRPr="009C7582">
        <w:rPr>
          <w:rFonts w:ascii="Arial" w:hAnsi="Arial" w:cs="Arial"/>
          <w:sz w:val="22"/>
          <w:szCs w:val="22"/>
          <w:lang w:val="de-DE"/>
        </w:rPr>
        <w:t xml:space="preserve">– w </w:t>
      </w:r>
      <w:proofErr w:type="spellStart"/>
      <w:r w:rsidRPr="009C7582">
        <w:rPr>
          <w:rFonts w:ascii="Arial" w:hAnsi="Arial" w:cs="Arial"/>
          <w:sz w:val="22"/>
          <w:szCs w:val="22"/>
          <w:lang w:val="de-DE"/>
        </w:rPr>
        <w:t>odniesieniu</w:t>
      </w:r>
      <w:proofErr w:type="spellEnd"/>
      <w:r w:rsidRPr="009C7582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9C7582">
        <w:rPr>
          <w:rFonts w:ascii="Arial" w:hAnsi="Arial" w:cs="Arial"/>
          <w:sz w:val="22"/>
          <w:szCs w:val="22"/>
          <w:lang w:val="de-DE"/>
        </w:rPr>
        <w:t>nieruchomości</w:t>
      </w:r>
      <w:proofErr w:type="spellEnd"/>
      <w:r w:rsidRPr="009C75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C7582">
        <w:rPr>
          <w:rFonts w:ascii="Arial" w:hAnsi="Arial" w:cs="Arial"/>
          <w:sz w:val="22"/>
          <w:szCs w:val="22"/>
          <w:lang w:val="de-DE"/>
        </w:rPr>
        <w:t>Skarbu</w:t>
      </w:r>
      <w:proofErr w:type="spellEnd"/>
      <w:r w:rsidRPr="009C75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C7582">
        <w:rPr>
          <w:rFonts w:ascii="Arial" w:hAnsi="Arial" w:cs="Arial"/>
          <w:sz w:val="22"/>
          <w:szCs w:val="22"/>
          <w:lang w:val="de-DE"/>
        </w:rPr>
        <w:t>Państwa</w:t>
      </w:r>
      <w:proofErr w:type="spellEnd"/>
    </w:p>
    <w:p w:rsidR="00462078" w:rsidRPr="00462078" w:rsidRDefault="00462078" w:rsidP="00462078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de-DE"/>
        </w:rPr>
      </w:pPr>
    </w:p>
    <w:p w:rsidR="00020206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 </w:t>
      </w:r>
    </w:p>
    <w:p w:rsidR="003D5C2C" w:rsidRDefault="00020206" w:rsidP="00020206">
      <w:pPr>
        <w:pStyle w:val="Akapitzlist"/>
        <w:tabs>
          <w:tab w:val="left" w:pos="426"/>
        </w:tabs>
        <w:ind w:left="426"/>
        <w:rPr>
          <w:rFonts w:ascii="Arial" w:hAnsi="Arial" w:cs="Arial"/>
          <w:sz w:val="22"/>
          <w:szCs w:val="22"/>
          <w:lang w:val="de-DE"/>
        </w:rPr>
      </w:pPr>
      <w:r w:rsidRPr="00C50CA9">
        <w:rPr>
          <w:rFonts w:ascii="Arial" w:hAnsi="Arial" w:cs="Arial"/>
          <w:sz w:val="22"/>
          <w:szCs w:val="22"/>
          <w:lang w:val="de-DE"/>
        </w:rPr>
        <w:t>grazyna.najgeburska@um.kielce.pl</w:t>
      </w:r>
      <w:r w:rsidRPr="00873801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242A33">
        <w:rPr>
          <w:rFonts w:ascii="Arial" w:hAnsi="Arial" w:cs="Arial"/>
          <w:sz w:val="22"/>
          <w:szCs w:val="22"/>
          <w:lang w:val="de-DE"/>
        </w:rPr>
        <w:t>lukasz.mikulski@um.kielce.pl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Pr="00C50CA9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katarzyna.kulczycka</w:t>
      </w:r>
      <w:r w:rsidRPr="00242A33">
        <w:rPr>
          <w:rFonts w:ascii="Arial" w:hAnsi="Arial" w:cs="Arial"/>
          <w:sz w:val="22"/>
          <w:szCs w:val="22"/>
          <w:lang w:val="de-DE"/>
        </w:rPr>
        <w:t>@um.kielce.pl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242A33">
        <w:rPr>
          <w:rFonts w:ascii="Arial" w:hAnsi="Arial" w:cs="Arial"/>
          <w:sz w:val="22"/>
          <w:szCs w:val="22"/>
          <w:lang w:val="de-DE"/>
        </w:rPr>
        <w:t xml:space="preserve"> </w:t>
      </w:r>
      <w:r w:rsidRPr="00C50CA9">
        <w:rPr>
          <w:rFonts w:ascii="Arial" w:hAnsi="Arial" w:cs="Arial"/>
          <w:sz w:val="22"/>
          <w:szCs w:val="22"/>
          <w:lang w:val="de-DE"/>
        </w:rPr>
        <w:t>ryszard.pazera@um.kielce.pl</w:t>
      </w:r>
      <w:r w:rsidRPr="009C7582">
        <w:rPr>
          <w:rFonts w:ascii="Arial" w:hAnsi="Arial" w:cs="Arial"/>
          <w:sz w:val="22"/>
          <w:szCs w:val="22"/>
          <w:lang w:val="de-DE"/>
        </w:rPr>
        <w:t xml:space="preserve">, </w:t>
      </w:r>
      <w:r w:rsidRPr="00873801">
        <w:rPr>
          <w:rFonts w:ascii="Arial" w:hAnsi="Arial" w:cs="Arial"/>
          <w:sz w:val="22"/>
          <w:szCs w:val="22"/>
          <w:lang w:val="de-DE"/>
        </w:rPr>
        <w:t xml:space="preserve">malgorzata.durlik@um.kielce.pl, </w:t>
      </w:r>
      <w:r w:rsidRPr="00242A33">
        <w:rPr>
          <w:rFonts w:ascii="Arial" w:hAnsi="Arial" w:cs="Arial"/>
          <w:sz w:val="22"/>
          <w:szCs w:val="22"/>
          <w:lang w:val="de-DE"/>
        </w:rPr>
        <w:t>jowita.goraj@um.kielce.pl</w:t>
      </w:r>
    </w:p>
    <w:p w:rsidR="00020206" w:rsidRPr="00020206" w:rsidRDefault="00020206" w:rsidP="00020206">
      <w:pPr>
        <w:pStyle w:val="Akapitzlist"/>
        <w:tabs>
          <w:tab w:val="left" w:pos="426"/>
        </w:tabs>
        <w:ind w:left="426"/>
        <w:rPr>
          <w:rFonts w:ascii="Arial" w:hAnsi="Arial" w:cs="Arial"/>
          <w:sz w:val="22"/>
          <w:szCs w:val="22"/>
          <w:lang w:val="de-DE"/>
        </w:rPr>
      </w:pPr>
    </w:p>
    <w:p w:rsidR="003D5C2C" w:rsidRPr="00020206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020206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020206" w:rsidRPr="00361E66">
        <w:rPr>
          <w:rFonts w:ascii="Arial" w:hAnsi="Arial" w:cs="Arial"/>
          <w:sz w:val="22"/>
          <w:szCs w:val="22"/>
          <w:lang w:val="pl-PL"/>
        </w:rPr>
        <w:t>7.30 -15.30</w:t>
      </w:r>
    </w:p>
    <w:p w:rsidR="00462078" w:rsidRDefault="00462078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462078" w:rsidRDefault="00462078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782E9A" w:rsidRDefault="00004A35" w:rsidP="00004A35">
      <w:pPr>
        <w:ind w:left="360"/>
        <w:rPr>
          <w:rFonts w:ascii="Arial" w:hAnsi="Arial" w:cs="Arial"/>
          <w:szCs w:val="22"/>
        </w:rPr>
      </w:pPr>
      <w:r w:rsidRPr="003E0D56">
        <w:rPr>
          <w:rFonts w:ascii="Arial" w:hAnsi="Arial" w:cs="Arial"/>
          <w:szCs w:val="22"/>
        </w:rPr>
        <w:t>Brak</w:t>
      </w:r>
    </w:p>
    <w:p w:rsidR="00004A35" w:rsidRDefault="00004A35" w:rsidP="00004A3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BB616D" w:rsidRPr="009310A7" w:rsidRDefault="00BB616D" w:rsidP="00004A3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16EED" w:rsidRDefault="00116EED" w:rsidP="00116EE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Zaświadczenie </w:t>
      </w:r>
      <w:r w:rsidRPr="003922AD">
        <w:rPr>
          <w:rFonts w:ascii="Arial" w:hAnsi="Arial" w:cs="Arial"/>
          <w:sz w:val="22"/>
        </w:rPr>
        <w:t>potwierdzające przekształcenie prawa użytkowania wieczystego gruntu zabudowanego na cele mieszkaniowe w prawo własności tego gruntu</w:t>
      </w:r>
      <w:r>
        <w:rPr>
          <w:rFonts w:ascii="Arial" w:hAnsi="Arial" w:cs="Arial"/>
          <w:sz w:val="22"/>
          <w:szCs w:val="22"/>
        </w:rPr>
        <w:t xml:space="preserve"> wydawane z urzędu nie podlega opłacie skarbowej.</w:t>
      </w:r>
    </w:p>
    <w:p w:rsidR="00116EED" w:rsidRPr="003570F9" w:rsidRDefault="00116EED" w:rsidP="00116EED">
      <w:pPr>
        <w:pStyle w:val="NormalnyWeb"/>
        <w:spacing w:before="0" w:after="0"/>
        <w:jc w:val="both"/>
        <w:rPr>
          <w:rFonts w:ascii="Arial" w:hAnsi="Arial" w:cs="Arial"/>
          <w:sz w:val="12"/>
        </w:rPr>
      </w:pPr>
    </w:p>
    <w:p w:rsidR="003D5C2C" w:rsidRDefault="00116EED" w:rsidP="00116EED">
      <w:pPr>
        <w:rPr>
          <w:rFonts w:ascii="Arial" w:hAnsi="Arial" w:cs="Arial"/>
          <w:szCs w:val="22"/>
        </w:rPr>
      </w:pPr>
      <w:r w:rsidRPr="003922AD">
        <w:rPr>
          <w:rFonts w:ascii="Arial" w:hAnsi="Arial" w:cs="Arial"/>
        </w:rPr>
        <w:lastRenderedPageBreak/>
        <w:t xml:space="preserve">Zaświadczenie potwierdzające przekształcenie prawa użytkowania wieczystego gruntu zabudowanego na cele mieszkaniowe w prawo własności tego gruntu wydane na wniosek podlega opłacie skarbowej w kwocie </w:t>
      </w:r>
      <w:r w:rsidRPr="003922AD">
        <w:rPr>
          <w:rFonts w:ascii="Arial" w:hAnsi="Arial" w:cs="Arial"/>
          <w:b/>
        </w:rPr>
        <w:t>50,00 zł</w:t>
      </w:r>
      <w:r w:rsidRPr="003922AD">
        <w:rPr>
          <w:rFonts w:ascii="Arial" w:hAnsi="Arial" w:cs="Arial"/>
        </w:rPr>
        <w:t xml:space="preserve">, którą należy uiścić w formie gotówkowej bądź bezgotówkowej na konto: </w:t>
      </w:r>
      <w:r w:rsidRPr="003922AD">
        <w:rPr>
          <w:rFonts w:ascii="Arial" w:hAnsi="Arial" w:cs="Arial"/>
          <w:b/>
        </w:rPr>
        <w:t>Urząd Miasta Kielce 38 1050 0099 6450 9000 0000 0000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szCs w:val="22"/>
        </w:rPr>
        <w:t>Wnioskodawca zobowiązany jest przedłożyć dowód uiszczenia opłaty skarbowej.</w:t>
      </w:r>
    </w:p>
    <w:p w:rsidR="0077256B" w:rsidRPr="006B27C2" w:rsidRDefault="0077256B" w:rsidP="00116EED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020206" w:rsidRDefault="00020206" w:rsidP="00020206">
      <w:pPr>
        <w:pStyle w:val="Tekstpodstawowywcity21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Kielce</w:t>
      </w:r>
      <w:r w:rsidRPr="00861061">
        <w:rPr>
          <w:rFonts w:ascii="Arial" w:hAnsi="Arial" w:cs="Arial"/>
          <w:sz w:val="22"/>
          <w:szCs w:val="22"/>
        </w:rPr>
        <w:t xml:space="preserve"> wydaje zaświadczenie</w:t>
      </w:r>
      <w:r>
        <w:rPr>
          <w:rFonts w:ascii="Arial" w:hAnsi="Arial" w:cs="Arial"/>
          <w:sz w:val="22"/>
          <w:szCs w:val="22"/>
        </w:rPr>
        <w:t xml:space="preserve"> potwierdzające </w:t>
      </w:r>
      <w:r w:rsidRPr="00436411">
        <w:rPr>
          <w:rFonts w:ascii="Arial" w:hAnsi="Arial" w:cs="Arial"/>
          <w:sz w:val="22"/>
        </w:rPr>
        <w:t>przekształcenie prawa użytkowania wieczystego gruntu zabudowanego na cele mieszkaniowe w prawo własności tego gruntu</w:t>
      </w:r>
      <w:r>
        <w:rPr>
          <w:rFonts w:ascii="Arial" w:hAnsi="Arial" w:cs="Arial"/>
          <w:sz w:val="22"/>
          <w:szCs w:val="22"/>
        </w:rPr>
        <w:t>:</w:t>
      </w:r>
    </w:p>
    <w:p w:rsidR="00020206" w:rsidRDefault="00020206" w:rsidP="00020206">
      <w:pPr>
        <w:pStyle w:val="Tekstpodstawowywcity21"/>
        <w:numPr>
          <w:ilvl w:val="0"/>
          <w:numId w:val="9"/>
        </w:numPr>
        <w:tabs>
          <w:tab w:val="clear" w:pos="1080"/>
          <w:tab w:val="num" w:pos="426"/>
        </w:tabs>
        <w:spacing w:after="0" w:line="24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861061">
        <w:rPr>
          <w:rFonts w:ascii="Arial" w:hAnsi="Arial" w:cs="Arial"/>
          <w:sz w:val="22"/>
          <w:szCs w:val="22"/>
        </w:rPr>
        <w:t>z urzędu</w:t>
      </w:r>
      <w:r>
        <w:rPr>
          <w:rFonts w:ascii="Arial" w:hAnsi="Arial" w:cs="Arial"/>
          <w:sz w:val="22"/>
          <w:szCs w:val="22"/>
        </w:rPr>
        <w:t xml:space="preserve"> – </w:t>
      </w:r>
      <w:r w:rsidRPr="00861061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861061">
        <w:rPr>
          <w:rFonts w:ascii="Arial" w:hAnsi="Arial" w:cs="Arial"/>
          <w:sz w:val="22"/>
          <w:szCs w:val="22"/>
        </w:rPr>
        <w:t xml:space="preserve">później niż w terminie 12 miesięcy od dnia przekształcenia </w:t>
      </w:r>
    </w:p>
    <w:p w:rsidR="00020206" w:rsidRDefault="00020206" w:rsidP="00020206">
      <w:pPr>
        <w:pStyle w:val="Tekstpodstawowywcity21"/>
        <w:numPr>
          <w:ilvl w:val="0"/>
          <w:numId w:val="9"/>
        </w:numPr>
        <w:tabs>
          <w:tab w:val="clear" w:pos="1080"/>
          <w:tab w:val="num" w:pos="426"/>
        </w:tabs>
        <w:spacing w:after="0" w:line="24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861061">
        <w:rPr>
          <w:rFonts w:ascii="Arial" w:hAnsi="Arial" w:cs="Arial"/>
          <w:sz w:val="22"/>
          <w:szCs w:val="22"/>
        </w:rPr>
        <w:t>na wniosek właściciela</w:t>
      </w:r>
      <w:r>
        <w:rPr>
          <w:rFonts w:ascii="Arial" w:hAnsi="Arial" w:cs="Arial"/>
          <w:sz w:val="22"/>
          <w:szCs w:val="22"/>
        </w:rPr>
        <w:t xml:space="preserve"> – </w:t>
      </w:r>
      <w:r w:rsidRPr="0086106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861061">
        <w:rPr>
          <w:rFonts w:ascii="Arial" w:hAnsi="Arial" w:cs="Arial"/>
          <w:sz w:val="22"/>
          <w:szCs w:val="22"/>
        </w:rPr>
        <w:t>terminie 4 miesięcy od dnia otrzymania wniosku</w:t>
      </w:r>
    </w:p>
    <w:p w:rsidR="00020206" w:rsidRPr="005B3E84" w:rsidRDefault="00020206" w:rsidP="00020206">
      <w:pPr>
        <w:pStyle w:val="Tekstpodstawowywcity21"/>
        <w:numPr>
          <w:ilvl w:val="0"/>
          <w:numId w:val="9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wniosek </w:t>
      </w:r>
      <w:r w:rsidRPr="005B3E84">
        <w:rPr>
          <w:rFonts w:ascii="Arial" w:hAnsi="Arial" w:cs="Arial"/>
          <w:sz w:val="22"/>
          <w:szCs w:val="22"/>
        </w:rPr>
        <w:t>właściciela lokalu uzasadniony potrzebą dokonania czynności prawnej mającej za przedmiot lokal albo właściciela gruntu uzasadniony potrzebą ustanowienia odrębnej własności lokalu</w:t>
      </w:r>
      <w:r>
        <w:rPr>
          <w:rFonts w:ascii="Arial" w:hAnsi="Arial" w:cs="Arial"/>
          <w:sz w:val="22"/>
          <w:szCs w:val="22"/>
        </w:rPr>
        <w:t xml:space="preserve"> – </w:t>
      </w:r>
      <w:r w:rsidRPr="0086106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861061">
        <w:rPr>
          <w:rFonts w:ascii="Arial" w:hAnsi="Arial" w:cs="Arial"/>
          <w:sz w:val="22"/>
          <w:szCs w:val="22"/>
        </w:rPr>
        <w:t xml:space="preserve">terminie </w:t>
      </w:r>
      <w:r>
        <w:rPr>
          <w:rFonts w:ascii="Arial" w:hAnsi="Arial" w:cs="Arial"/>
          <w:sz w:val="22"/>
          <w:szCs w:val="22"/>
        </w:rPr>
        <w:t>30 dni</w:t>
      </w:r>
      <w:r w:rsidRPr="00861061">
        <w:rPr>
          <w:rFonts w:ascii="Arial" w:hAnsi="Arial" w:cs="Arial"/>
          <w:sz w:val="22"/>
          <w:szCs w:val="22"/>
        </w:rPr>
        <w:t xml:space="preserve"> od dnia otrzymania wniosku</w:t>
      </w:r>
    </w:p>
    <w:p w:rsidR="003D5C2C" w:rsidRDefault="00020206" w:rsidP="0077256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020206">
        <w:rPr>
          <w:rFonts w:ascii="Arial" w:hAnsi="Arial" w:cs="Arial"/>
          <w:sz w:val="22"/>
          <w:lang w:val="pl-PL"/>
        </w:rPr>
        <w:t xml:space="preserve">Zaświadczenie doręcza się dotychczasowym użytkownikom wieczystym na adresy wskazane w ewidencji gruntów i budynków lub inne adresy, na które przed dniem przekształcenia doręczano korespondencję dotyczącą użytkowania wieczystego. </w:t>
      </w:r>
      <w:proofErr w:type="spellStart"/>
      <w:r w:rsidRPr="009966E9">
        <w:rPr>
          <w:rFonts w:ascii="Arial" w:hAnsi="Arial" w:cs="Arial"/>
          <w:sz w:val="22"/>
        </w:rPr>
        <w:t>Doręczenie</w:t>
      </w:r>
      <w:proofErr w:type="spellEnd"/>
      <w:r w:rsidRPr="009966E9">
        <w:rPr>
          <w:rFonts w:ascii="Arial" w:hAnsi="Arial" w:cs="Arial"/>
          <w:sz w:val="22"/>
        </w:rPr>
        <w:t xml:space="preserve"> </w:t>
      </w:r>
      <w:proofErr w:type="spellStart"/>
      <w:r w:rsidRPr="009966E9">
        <w:rPr>
          <w:rFonts w:ascii="Arial" w:hAnsi="Arial" w:cs="Arial"/>
          <w:sz w:val="22"/>
        </w:rPr>
        <w:t>zaświadczenia</w:t>
      </w:r>
      <w:proofErr w:type="spellEnd"/>
      <w:r w:rsidRPr="009966E9">
        <w:rPr>
          <w:rFonts w:ascii="Arial" w:hAnsi="Arial" w:cs="Arial"/>
          <w:sz w:val="22"/>
        </w:rPr>
        <w:t xml:space="preserve"> </w:t>
      </w:r>
      <w:proofErr w:type="spellStart"/>
      <w:r w:rsidRPr="009966E9">
        <w:rPr>
          <w:rFonts w:ascii="Arial" w:hAnsi="Arial" w:cs="Arial"/>
          <w:sz w:val="22"/>
        </w:rPr>
        <w:t>na</w:t>
      </w:r>
      <w:proofErr w:type="spellEnd"/>
      <w:r w:rsidRPr="009966E9">
        <w:rPr>
          <w:rFonts w:ascii="Arial" w:hAnsi="Arial" w:cs="Arial"/>
          <w:sz w:val="22"/>
        </w:rPr>
        <w:t xml:space="preserve"> </w:t>
      </w:r>
      <w:proofErr w:type="spellStart"/>
      <w:r w:rsidRPr="009966E9">
        <w:rPr>
          <w:rFonts w:ascii="Arial" w:hAnsi="Arial" w:cs="Arial"/>
          <w:sz w:val="22"/>
        </w:rPr>
        <w:t>takie</w:t>
      </w:r>
      <w:proofErr w:type="spellEnd"/>
      <w:r w:rsidRPr="009966E9">
        <w:rPr>
          <w:rFonts w:ascii="Arial" w:hAnsi="Arial" w:cs="Arial"/>
          <w:sz w:val="22"/>
        </w:rPr>
        <w:t xml:space="preserve"> </w:t>
      </w:r>
      <w:proofErr w:type="spellStart"/>
      <w:r w:rsidRPr="009966E9">
        <w:rPr>
          <w:rFonts w:ascii="Arial" w:hAnsi="Arial" w:cs="Arial"/>
          <w:sz w:val="22"/>
        </w:rPr>
        <w:t>adresy</w:t>
      </w:r>
      <w:proofErr w:type="spellEnd"/>
      <w:r w:rsidRPr="009966E9">
        <w:rPr>
          <w:rFonts w:ascii="Arial" w:hAnsi="Arial" w:cs="Arial"/>
          <w:sz w:val="22"/>
        </w:rPr>
        <w:t xml:space="preserve"> </w:t>
      </w:r>
      <w:proofErr w:type="spellStart"/>
      <w:r w:rsidRPr="009966E9">
        <w:rPr>
          <w:rFonts w:ascii="Arial" w:hAnsi="Arial" w:cs="Arial"/>
          <w:sz w:val="22"/>
        </w:rPr>
        <w:t>uważa</w:t>
      </w:r>
      <w:proofErr w:type="spellEnd"/>
      <w:r w:rsidRPr="009966E9">
        <w:rPr>
          <w:rFonts w:ascii="Arial" w:hAnsi="Arial" w:cs="Arial"/>
          <w:sz w:val="22"/>
        </w:rPr>
        <w:t xml:space="preserve"> </w:t>
      </w:r>
      <w:proofErr w:type="spellStart"/>
      <w:r w:rsidRPr="009966E9">
        <w:rPr>
          <w:rFonts w:ascii="Arial" w:hAnsi="Arial" w:cs="Arial"/>
          <w:sz w:val="22"/>
        </w:rPr>
        <w:t>się</w:t>
      </w:r>
      <w:proofErr w:type="spellEnd"/>
      <w:r w:rsidRPr="009966E9">
        <w:rPr>
          <w:rFonts w:ascii="Arial" w:hAnsi="Arial" w:cs="Arial"/>
          <w:sz w:val="22"/>
        </w:rPr>
        <w:t xml:space="preserve"> </w:t>
      </w:r>
      <w:proofErr w:type="spellStart"/>
      <w:r w:rsidRPr="009966E9">
        <w:rPr>
          <w:rFonts w:ascii="Arial" w:hAnsi="Arial" w:cs="Arial"/>
          <w:sz w:val="22"/>
        </w:rPr>
        <w:t>za</w:t>
      </w:r>
      <w:proofErr w:type="spellEnd"/>
      <w:r w:rsidRPr="009966E9">
        <w:rPr>
          <w:rFonts w:ascii="Arial" w:hAnsi="Arial" w:cs="Arial"/>
          <w:sz w:val="22"/>
        </w:rPr>
        <w:t xml:space="preserve"> </w:t>
      </w:r>
      <w:proofErr w:type="spellStart"/>
      <w:r w:rsidRPr="009966E9">
        <w:rPr>
          <w:rFonts w:ascii="Arial" w:hAnsi="Arial" w:cs="Arial"/>
          <w:sz w:val="22"/>
        </w:rPr>
        <w:t>dokonane</w:t>
      </w:r>
      <w:proofErr w:type="spellEnd"/>
      <w:r w:rsidRPr="009966E9">
        <w:rPr>
          <w:rFonts w:ascii="Arial" w:hAnsi="Arial" w:cs="Arial"/>
          <w:sz w:val="22"/>
        </w:rPr>
        <w:t>.</w:t>
      </w:r>
    </w:p>
    <w:p w:rsidR="003D5C2C" w:rsidRPr="00531FFF" w:rsidRDefault="003D5C2C" w:rsidP="003D5C2C">
      <w:pPr>
        <w:pStyle w:val="Akapitzlist"/>
        <w:ind w:left="360"/>
        <w:jc w:val="both"/>
        <w:rPr>
          <w:rFonts w:ascii="Arial" w:hAnsi="Arial" w:cs="Arial"/>
          <w:sz w:val="10"/>
          <w:szCs w:val="22"/>
          <w:lang w:val="pl-PL"/>
        </w:rPr>
      </w:pPr>
    </w:p>
    <w:p w:rsidR="003D5C2C" w:rsidRPr="00531FFF" w:rsidRDefault="003D5C2C" w:rsidP="003D5C2C">
      <w:pPr>
        <w:pStyle w:val="Akapitzlist"/>
        <w:ind w:left="360"/>
        <w:jc w:val="both"/>
        <w:rPr>
          <w:rFonts w:ascii="Arial" w:hAnsi="Arial" w:cs="Arial"/>
          <w:sz w:val="10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Pr="00531FFF" w:rsidRDefault="003D5C2C" w:rsidP="003D5C2C">
      <w:pPr>
        <w:rPr>
          <w:rFonts w:ascii="Arial" w:hAnsi="Arial" w:cs="Arial"/>
          <w:sz w:val="12"/>
          <w:szCs w:val="22"/>
        </w:rPr>
      </w:pPr>
    </w:p>
    <w:p w:rsidR="003D5C2C" w:rsidRDefault="00020206" w:rsidP="0077256B">
      <w:pPr>
        <w:rPr>
          <w:rFonts w:ascii="Arial" w:hAnsi="Arial" w:cs="Arial"/>
          <w:szCs w:val="22"/>
        </w:rPr>
      </w:pPr>
      <w:r w:rsidRPr="0099392B">
        <w:rPr>
          <w:rFonts w:ascii="Arial" w:hAnsi="Arial" w:cs="Arial"/>
        </w:rPr>
        <w:t xml:space="preserve">Jeżeli właściciel nieruchomości nie zgadza się z zawartą w zaświadczeniu informacją </w:t>
      </w:r>
      <w:r w:rsidR="0077256B">
        <w:rPr>
          <w:rFonts w:ascii="Arial" w:hAnsi="Arial" w:cs="Arial"/>
        </w:rPr>
        <w:t xml:space="preserve">                  </w:t>
      </w:r>
      <w:r w:rsidRPr="0099392B">
        <w:rPr>
          <w:rFonts w:ascii="Arial" w:hAnsi="Arial" w:cs="Arial"/>
        </w:rPr>
        <w:t xml:space="preserve">o wysokości i okresie wnoszenia opłaty, może złożyć do właściwego organu, w terminie </w:t>
      </w:r>
      <w:r w:rsidR="0077256B">
        <w:rPr>
          <w:rFonts w:ascii="Arial" w:hAnsi="Arial" w:cs="Arial"/>
        </w:rPr>
        <w:t xml:space="preserve">              </w:t>
      </w:r>
      <w:r w:rsidRPr="0099392B">
        <w:rPr>
          <w:rFonts w:ascii="Arial" w:hAnsi="Arial" w:cs="Arial"/>
        </w:rPr>
        <w:t>2 miesięcy od dnia doręczenia zaświadczenia, wniosek o ustalenie wysokości lub okresu wnoszenia tej opłaty w drodze decyzji.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3E0D56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3E0D56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531FFF" w:rsidRDefault="003D5C2C" w:rsidP="003D5C2C">
      <w:pPr>
        <w:pStyle w:val="Akapitzlist"/>
        <w:ind w:left="360"/>
        <w:jc w:val="both"/>
        <w:rPr>
          <w:rFonts w:ascii="Arial" w:hAnsi="Arial" w:cs="Arial"/>
          <w:sz w:val="12"/>
          <w:szCs w:val="22"/>
          <w:highlight w:val="yellow"/>
          <w:lang w:val="pl-PL"/>
        </w:rPr>
      </w:pPr>
    </w:p>
    <w:p w:rsidR="00B918CE" w:rsidRPr="00B918CE" w:rsidRDefault="00B918CE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918CE">
        <w:rPr>
          <w:rStyle w:val="Pogrubienie"/>
          <w:rFonts w:ascii="Arial" w:hAnsi="Arial" w:cs="Arial"/>
          <w:sz w:val="22"/>
          <w:szCs w:val="22"/>
        </w:rPr>
        <w:t>7. 1. Opłata za przekształcenie</w:t>
      </w:r>
    </w:p>
    <w:p w:rsidR="00B918CE" w:rsidRPr="00B918CE" w:rsidRDefault="00B918CE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918CE">
        <w:rPr>
          <w:rStyle w:val="Pogrubienie"/>
          <w:rFonts w:ascii="Arial" w:hAnsi="Arial" w:cs="Arial"/>
          <w:sz w:val="22"/>
          <w:szCs w:val="22"/>
        </w:rPr>
        <w:t>7.1.</w:t>
      </w:r>
      <w:r>
        <w:rPr>
          <w:rStyle w:val="Pogrubienie"/>
          <w:rFonts w:ascii="Arial" w:hAnsi="Arial" w:cs="Arial"/>
          <w:sz w:val="22"/>
          <w:szCs w:val="22"/>
        </w:rPr>
        <w:t>1.</w:t>
      </w:r>
      <w:r w:rsidRPr="00B918CE">
        <w:rPr>
          <w:rStyle w:val="Pogrubienie"/>
          <w:rFonts w:ascii="Arial" w:hAnsi="Arial" w:cs="Arial"/>
          <w:sz w:val="22"/>
          <w:szCs w:val="22"/>
        </w:rPr>
        <w:t xml:space="preserve"> Wysokość opłaty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 xml:space="preserve">Z tytułu przekształcenia nowy właściciel gruntu ponosi na rzecz dotychczasowego właściciela gruntu opłatę. Wysokość opłaty jest równa wysokości opłaty rocznej z tytułu użytkowania wieczystego, która obowiązywałaby w dniu przekształcenia. W przypadku gdy w dniu przekształcenia obowiązywałaby opłata roczna z tytułu użytkowania wieczystego ustalona za pierwszy lub drugi rok od aktualizacji, zgodnie z </w:t>
      </w:r>
      <w:hyperlink r:id="rId8" w:anchor="/document/16798871?unitId=art(77)ust(2(a))" w:tgtFrame="_blank" w:history="1">
        <w:r w:rsidRPr="00B918C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77 ust. 2a</w:t>
        </w:r>
      </w:hyperlink>
      <w:r w:rsidRPr="00B918CE">
        <w:rPr>
          <w:rFonts w:ascii="Arial" w:hAnsi="Arial" w:cs="Arial"/>
          <w:sz w:val="22"/>
          <w:szCs w:val="22"/>
        </w:rPr>
        <w:t xml:space="preserve"> ustawy z dnia 21 sierpnia 1997r. o gospodarce nieruchomościami, wysokość opłaty jest równa wysokości opłaty rocznej z tytułu użytkowania wieczystego w trzecim roku od aktualizacji.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W przypadku ustanowienia lub przeniesienia użytkowania wieczystego w okresie od dnia 1 stycznia 2018r. do dnia 31 grudnia 2018r. wysokość opłaty jest równa wysokości opłaty rocznej z tytułu użytkowania wieczystego, która zgodnie z postanowieniami umowy obowiązywałaby od dnia 1 stycznia 2019 r.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lastRenderedPageBreak/>
        <w:t>Opłaty za przekształcenie opłaty nie wnoszą osoby fizyczne lub ich spadkobiercy oraz spółdzielnie mieszkaniowe, w przypadku, gdy wniosły jednorazowo opłaty roczne za cały okres użytkowania wieczystego lub użytkowanie wieczyste uzyskały w zamian za wywłaszczenie lub przejęcie nieruchomości gruntowej na rzecz Skarbu Państwa przed dniem 5 grudnia 1990r.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Przepisy ustawy stosuje się z uwzględnieniem przepisów o pomocy publicznej (dla przedsiębiorców)</w:t>
      </w:r>
    </w:p>
    <w:p w:rsidR="00B918CE" w:rsidRPr="00B918CE" w:rsidRDefault="00B918CE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918CE">
        <w:rPr>
          <w:rStyle w:val="Pogrubienie"/>
          <w:rFonts w:ascii="Arial" w:hAnsi="Arial" w:cs="Arial"/>
          <w:sz w:val="22"/>
          <w:szCs w:val="22"/>
        </w:rPr>
        <w:t>7.</w:t>
      </w:r>
      <w:r>
        <w:rPr>
          <w:rStyle w:val="Pogrubienie"/>
          <w:rFonts w:ascii="Arial" w:hAnsi="Arial" w:cs="Arial"/>
          <w:sz w:val="22"/>
          <w:szCs w:val="22"/>
        </w:rPr>
        <w:t>1.</w:t>
      </w:r>
      <w:r w:rsidRPr="00B918CE">
        <w:rPr>
          <w:rStyle w:val="Pogrubienie"/>
          <w:rFonts w:ascii="Arial" w:hAnsi="Arial" w:cs="Arial"/>
          <w:sz w:val="22"/>
          <w:szCs w:val="22"/>
        </w:rPr>
        <w:t xml:space="preserve">2. Okres i termin wnoszenia opłaty 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Opłata z tytułu przekształcenia winna być wnoszona przez każdoczesnego właściciela przez okres 20 lat, licząc od dnia przekształcenia.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Opłatę wnosi się w terminie do dnia 31 marca każdego roku, przy czym opłatę należną za rok 2019 – w terminie do dnia 29 lutego 2020 roku.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Na wniosek złożony nie później niż 14 dni przed dniem upływu terminu płatności, właściwy organ może rozłożyć opłatę</w:t>
      </w:r>
      <w:r>
        <w:rPr>
          <w:rFonts w:ascii="Arial" w:hAnsi="Arial" w:cs="Arial"/>
          <w:sz w:val="22"/>
          <w:szCs w:val="22"/>
        </w:rPr>
        <w:t xml:space="preserve"> </w:t>
      </w:r>
      <w:r w:rsidRPr="00B918CE">
        <w:rPr>
          <w:rFonts w:ascii="Arial" w:hAnsi="Arial" w:cs="Arial"/>
          <w:sz w:val="22"/>
          <w:szCs w:val="22"/>
        </w:rPr>
        <w:t>na raty lub ustalić inny termin jej wniesienia, nieprzekraczający danego roku kalendarzowego.</w:t>
      </w:r>
    </w:p>
    <w:p w:rsidR="00B918CE" w:rsidRPr="00B918CE" w:rsidRDefault="00B918CE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918CE">
        <w:rPr>
          <w:rStyle w:val="Pogrubienie"/>
          <w:rFonts w:ascii="Arial" w:hAnsi="Arial" w:cs="Arial"/>
          <w:sz w:val="22"/>
          <w:szCs w:val="22"/>
        </w:rPr>
        <w:t>7.</w:t>
      </w:r>
      <w:r>
        <w:rPr>
          <w:rStyle w:val="Pogrubienie"/>
          <w:rFonts w:ascii="Arial" w:hAnsi="Arial" w:cs="Arial"/>
          <w:sz w:val="22"/>
          <w:szCs w:val="22"/>
        </w:rPr>
        <w:t>1.</w:t>
      </w:r>
      <w:r w:rsidRPr="00B918CE">
        <w:rPr>
          <w:rStyle w:val="Pogrubienie"/>
          <w:rFonts w:ascii="Arial" w:hAnsi="Arial" w:cs="Arial"/>
          <w:sz w:val="22"/>
          <w:szCs w:val="22"/>
        </w:rPr>
        <w:t>3. Jednorazowe wniesienie opłaty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Właściciel gruntu w każdym czasie trwania obowiązku wnoszenia opłaty może zgłosić właściwemu organowi na piśmie zamiar jednorazowego wniesienia opłaty w kwocie pozostającej do spłaty (opłata jednorazowa). Wysokość opłaty jednorazowej odpowiada iloczynowi wysokości opłaty obowiązującej w roku, w którym zgłoszono zamiar wniesienia opłaty jednorazowej oraz liczby lat pozostałych do upływu okresu 20 lat.</w:t>
      </w:r>
    </w:p>
    <w:p w:rsidR="00B918CE" w:rsidRPr="00B918CE" w:rsidRDefault="00B918CE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918CE">
        <w:rPr>
          <w:rStyle w:val="Pogrubienie"/>
          <w:rFonts w:ascii="Arial" w:hAnsi="Arial" w:cs="Arial"/>
          <w:sz w:val="22"/>
          <w:szCs w:val="22"/>
        </w:rPr>
        <w:t>7.</w:t>
      </w:r>
      <w:r>
        <w:rPr>
          <w:rStyle w:val="Pogrubienie"/>
          <w:rFonts w:ascii="Arial" w:hAnsi="Arial" w:cs="Arial"/>
          <w:sz w:val="22"/>
          <w:szCs w:val="22"/>
        </w:rPr>
        <w:t>1.</w:t>
      </w:r>
      <w:r w:rsidRPr="00B918CE">
        <w:rPr>
          <w:rStyle w:val="Pogrubienie"/>
          <w:rFonts w:ascii="Arial" w:hAnsi="Arial" w:cs="Arial"/>
          <w:sz w:val="22"/>
          <w:szCs w:val="22"/>
        </w:rPr>
        <w:t>4. Waloryzacja opłaty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Opłata może podlegać waloryzacji zgodnie z zasadami, o których mowa w art. 5 ustawy z dnia 21 sierpnia 1997r. Waloryzacji opłaty właściwy organ dokonuje z urzędu albo na wniosek właściciela, nie częściej niż raz na 3 lata od dnia dokonania ostatniej waloryzacji.</w:t>
      </w:r>
    </w:p>
    <w:p w:rsidR="00B918CE" w:rsidRPr="00B918CE" w:rsidRDefault="00B918CE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7.2.</w:t>
      </w:r>
      <w:r w:rsidRPr="00B918CE">
        <w:rPr>
          <w:rStyle w:val="Pogrubienie"/>
          <w:rFonts w:ascii="Arial" w:hAnsi="Arial" w:cs="Arial"/>
          <w:sz w:val="22"/>
          <w:szCs w:val="22"/>
        </w:rPr>
        <w:t> Bonifikaty od opłaty za przekształcenie</w:t>
      </w:r>
    </w:p>
    <w:p w:rsidR="00B918CE" w:rsidRPr="00B918CE" w:rsidRDefault="00B918CE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7</w:t>
      </w:r>
      <w:r w:rsidRPr="00B918CE">
        <w:rPr>
          <w:rStyle w:val="Pogrubienie"/>
          <w:rFonts w:ascii="Arial" w:hAnsi="Arial" w:cs="Arial"/>
          <w:sz w:val="22"/>
          <w:szCs w:val="22"/>
        </w:rPr>
        <w:t>.</w:t>
      </w:r>
      <w:r>
        <w:rPr>
          <w:rStyle w:val="Pogrubienie"/>
          <w:rFonts w:ascii="Arial" w:hAnsi="Arial" w:cs="Arial"/>
          <w:sz w:val="22"/>
          <w:szCs w:val="22"/>
        </w:rPr>
        <w:t>2.</w:t>
      </w:r>
      <w:r w:rsidRPr="00B918CE">
        <w:rPr>
          <w:rStyle w:val="Pogrubienie"/>
          <w:rFonts w:ascii="Arial" w:hAnsi="Arial" w:cs="Arial"/>
          <w:sz w:val="22"/>
          <w:szCs w:val="22"/>
        </w:rPr>
        <w:t>1.  W odniesieniu do nieruchomości Gminy Kielce</w:t>
      </w:r>
    </w:p>
    <w:p w:rsidR="00B918CE" w:rsidRPr="00B918CE" w:rsidRDefault="004B6230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7.2</w:t>
      </w:r>
      <w:r w:rsidR="00B918CE" w:rsidRPr="00B918CE">
        <w:rPr>
          <w:rStyle w:val="Pogrubienie"/>
          <w:rFonts w:ascii="Arial" w:hAnsi="Arial" w:cs="Arial"/>
          <w:sz w:val="22"/>
          <w:szCs w:val="22"/>
        </w:rPr>
        <w:t>.1.1. Bonifikaty od opłat rocznych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W przypadku wnoszenia opłaty za dany rok osobom fizycznym będącym właścicielami budynków mieszkalnych jednorodzinnych lub lokali mieszkalnych, przysługuje bonifikata od tej opłaty w wysokości 50% należnej opłaty.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Do bonifikaty uprawnione są osoby fizyczne, których dochód miesięczny na jednego członka gospodarstwa domowego nie przekracza 50% przeciętnego wynagrodzenia w gospodarce narodowej w roku poprzedzającym rok, za który opłata ma być wnoszona, ogłaszanego przez Prezesa Głównego Urzędu Statystycznego w Dzienniku Urzędowym Rzeczypospolitej Polskiej „Monitor Polski".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Dochód miesięczny jest obliczany jako średnia miesięczna z dochodu, o którym mowa w przepisach o dodatkach mieszkaniowych, uzyskanego w roku poprzedzającym rok, za który opłata jest wnoszona. Ciężar dowodu, że istnieją przesłanki udzielenia bonifikaty od tej opłaty, spoczywa na właścicielu.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Przez gospodarstwo domowe rozumie się gospodarstwo prowadzone przez właściciela, samodzielnie lub wspólnie z małżonkiem lub innymi osobami stale z nim zamieszkującymi i gospodarującymi na nieruchomości podlegającej przekształceniu.</w:t>
      </w:r>
    </w:p>
    <w:p w:rsidR="00B918CE" w:rsidRPr="00560A98" w:rsidRDefault="00B918CE" w:rsidP="00560A98">
      <w:pPr>
        <w:pStyle w:val="NormalnyWeb"/>
        <w:spacing w:before="0" w:after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60A98">
        <w:rPr>
          <w:rStyle w:val="Pogrubienie"/>
          <w:rFonts w:ascii="Arial" w:hAnsi="Arial" w:cs="Arial"/>
          <w:b w:val="0"/>
          <w:sz w:val="22"/>
          <w:szCs w:val="22"/>
        </w:rPr>
        <w:t>Wniosek o udzielenie bonifikaty należy złożyć w terminie do dnia 1 marca roku, za który opłata jest wnoszona, przy czym wniosek za rok 2019 należy złożyć do dnia 31 grudnia 2019 roku.</w:t>
      </w:r>
    </w:p>
    <w:p w:rsidR="00560A98" w:rsidRPr="00560A98" w:rsidRDefault="00560A98" w:rsidP="00560A9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60A98">
        <w:rPr>
          <w:rFonts w:ascii="Arial" w:eastAsiaTheme="minorHAnsi" w:hAnsi="Arial" w:cs="Arial"/>
          <w:szCs w:val="22"/>
          <w:lang w:eastAsia="en-US"/>
        </w:rPr>
        <w:t>Jeżeli zaświadczenie potwierdzające przekształcenie lub zaświadczenie potwierdzające wysokość</w:t>
      </w:r>
      <w:r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560A98">
        <w:rPr>
          <w:rFonts w:ascii="Arial" w:eastAsiaTheme="minorHAnsi" w:hAnsi="Arial" w:cs="Arial"/>
          <w:szCs w:val="22"/>
          <w:lang w:eastAsia="en-US"/>
        </w:rPr>
        <w:t xml:space="preserve">i okres pozostały do wnoszenia opłaty nie zostało doręczone zobowiązanemu do </w:t>
      </w:r>
      <w:r w:rsidRPr="00560A98">
        <w:rPr>
          <w:rFonts w:ascii="Arial" w:eastAsiaTheme="minorHAnsi" w:hAnsi="Arial" w:cs="Arial"/>
          <w:szCs w:val="22"/>
          <w:lang w:eastAsia="en-US"/>
        </w:rPr>
        <w:lastRenderedPageBreak/>
        <w:t>wnoszenia opłaty</w:t>
      </w:r>
      <w:r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560A98">
        <w:rPr>
          <w:rFonts w:ascii="Arial" w:eastAsiaTheme="minorHAnsi" w:hAnsi="Arial" w:cs="Arial"/>
          <w:szCs w:val="22"/>
          <w:lang w:eastAsia="en-US"/>
        </w:rPr>
        <w:t>w terminie umożliwiającym złożenie wniosku o udzielenie bonifikaty w</w:t>
      </w:r>
      <w:r>
        <w:rPr>
          <w:rFonts w:ascii="Arial" w:eastAsiaTheme="minorHAnsi" w:hAnsi="Arial" w:cs="Arial"/>
          <w:szCs w:val="22"/>
          <w:lang w:eastAsia="en-US"/>
        </w:rPr>
        <w:t xml:space="preserve"> ww. </w:t>
      </w:r>
      <w:r w:rsidRPr="00560A98">
        <w:rPr>
          <w:rFonts w:ascii="Arial" w:eastAsiaTheme="minorHAnsi" w:hAnsi="Arial" w:cs="Arial"/>
          <w:szCs w:val="22"/>
          <w:lang w:eastAsia="en-US"/>
        </w:rPr>
        <w:t xml:space="preserve"> terminie</w:t>
      </w:r>
      <w:r>
        <w:rPr>
          <w:rFonts w:ascii="Arial" w:eastAsiaTheme="minorHAnsi" w:hAnsi="Arial" w:cs="Arial"/>
          <w:szCs w:val="22"/>
          <w:lang w:eastAsia="en-US"/>
        </w:rPr>
        <w:t>,</w:t>
      </w:r>
      <w:r w:rsidRPr="00560A98">
        <w:rPr>
          <w:rFonts w:ascii="Arial" w:eastAsiaTheme="minorHAnsi" w:hAnsi="Arial" w:cs="Arial"/>
          <w:szCs w:val="22"/>
          <w:lang w:eastAsia="en-US"/>
        </w:rPr>
        <w:t xml:space="preserve"> wniosek należy złożyć w terminie 14 dni od dnia otrzymania takiego zaświadczenia</w:t>
      </w:r>
    </w:p>
    <w:p w:rsid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B616D">
        <w:rPr>
          <w:rFonts w:ascii="Arial" w:hAnsi="Arial" w:cs="Arial"/>
          <w:b/>
          <w:sz w:val="22"/>
          <w:szCs w:val="22"/>
        </w:rPr>
        <w:t>Bonifikaty nie stosuje się</w:t>
      </w:r>
      <w:r w:rsidRPr="00B918CE">
        <w:rPr>
          <w:rFonts w:ascii="Arial" w:hAnsi="Arial" w:cs="Arial"/>
          <w:sz w:val="22"/>
          <w:szCs w:val="22"/>
        </w:rPr>
        <w:t>, jeżeli w dniu złożenia wniosku o bonifikatę, kwestia następstwa prawnego wnioskodawcy po właścicielach lub współwłaścicielach nieruchomości podlegającej przekształceniu, nie została ujawniona w treści księgi wieczystej.</w:t>
      </w:r>
    </w:p>
    <w:p w:rsidR="000F7AE2" w:rsidRPr="00B918CE" w:rsidRDefault="000F7AE2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Bonifikaty nie stosuje się do opłat za przekształcenie udziałów w prawie użytkowania wieczystego związanych z lokalami niemieszkalnymi w budynkach wielolokalowych.</w:t>
      </w:r>
    </w:p>
    <w:p w:rsidR="00B918CE" w:rsidRPr="00B918CE" w:rsidRDefault="004B6230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7.2.</w:t>
      </w:r>
      <w:r w:rsidR="00B918CE" w:rsidRPr="00B918CE">
        <w:rPr>
          <w:rStyle w:val="Pogrubienie"/>
          <w:rFonts w:ascii="Arial" w:hAnsi="Arial" w:cs="Arial"/>
          <w:sz w:val="22"/>
          <w:szCs w:val="22"/>
        </w:rPr>
        <w:t xml:space="preserve">1.2. Bonifikaty od opłaty jednorazowej 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W przypadku wniesienia opłaty jednorazowej za przekształcenie osobom fizycznym będącym właścicielami budynków mieszkalnych jednorodzinnych lub lokali mieszkalnych oraz spółdzielniom mieszkaniowym będącym właścicielami budynków mieszkalnych lub lokali mieszkalnych</w:t>
      </w:r>
      <w:r w:rsidR="004B6230">
        <w:rPr>
          <w:rFonts w:ascii="Arial" w:hAnsi="Arial" w:cs="Arial"/>
          <w:sz w:val="22"/>
          <w:szCs w:val="22"/>
        </w:rPr>
        <w:t xml:space="preserve">, </w:t>
      </w:r>
      <w:r w:rsidRPr="00B918CE">
        <w:rPr>
          <w:rFonts w:ascii="Arial" w:hAnsi="Arial" w:cs="Arial"/>
          <w:sz w:val="22"/>
          <w:szCs w:val="22"/>
        </w:rPr>
        <w:t>przysługuje bonifikata od tej opłaty w wysokości:</w:t>
      </w:r>
    </w:p>
    <w:p w:rsidR="00B918CE" w:rsidRPr="00B918CE" w:rsidRDefault="00B918CE" w:rsidP="004B6230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60% – w przypadku gdy opłata jednorazowa zostanie wniesiona w roku, w którym nastąpiło przekształcenie,</w:t>
      </w:r>
    </w:p>
    <w:p w:rsidR="00B918CE" w:rsidRPr="00B918CE" w:rsidRDefault="00B918CE" w:rsidP="004B6230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50% – w przypadku gdy opłata jednorazowa zostanie wniesiona w drugim roku po przekształceniu,</w:t>
      </w:r>
    </w:p>
    <w:p w:rsidR="00B918CE" w:rsidRPr="00B918CE" w:rsidRDefault="00B918CE" w:rsidP="004B6230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40% – w przypadku gdy opłata jednorazowa zostanie wniesiona w trzecim roku po przekształceniu,</w:t>
      </w:r>
    </w:p>
    <w:p w:rsidR="00B918CE" w:rsidRPr="00B918CE" w:rsidRDefault="00B918CE" w:rsidP="004B6230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30% – w przypadku gdy opłata jednorazowa zostanie wniesiona w czwartym roku po przekształceniu,</w:t>
      </w:r>
    </w:p>
    <w:p w:rsidR="00B918CE" w:rsidRPr="00B918CE" w:rsidRDefault="00B918CE" w:rsidP="004B6230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20% – w przypadku gdy opłata jednorazowa zostanie wniesiona w piątym roku po przekształceniu,</w:t>
      </w:r>
    </w:p>
    <w:p w:rsidR="00B918CE" w:rsidRPr="00B918CE" w:rsidRDefault="00B918CE" w:rsidP="004B6230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10% – w przypadku gdy opłata jednorazowa zostanie wniesiona w szóstym roku po przekształceniu,</w:t>
      </w:r>
    </w:p>
    <w:p w:rsidR="00B918CE" w:rsidRPr="00B918CE" w:rsidRDefault="00B918CE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918CE">
        <w:rPr>
          <w:rStyle w:val="Pogrubienie"/>
          <w:rFonts w:ascii="Arial" w:hAnsi="Arial" w:cs="Arial"/>
          <w:sz w:val="22"/>
          <w:szCs w:val="22"/>
        </w:rPr>
        <w:t>Bonifikaty nie stosuje się, jeżeli:</w:t>
      </w:r>
    </w:p>
    <w:p w:rsidR="00B918CE" w:rsidRPr="00B918CE" w:rsidRDefault="00B918CE" w:rsidP="004B623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 xml:space="preserve">opłata roczna z tytułu użytkowania wieczystego, która obowiązywałaby w dniu przekształcenia została ustalona w oparciu o wartość prawa własności gruntu określoną </w:t>
      </w:r>
      <w:r w:rsidRPr="00B918CE">
        <w:rPr>
          <w:rStyle w:val="Pogrubienie"/>
          <w:rFonts w:ascii="Arial" w:hAnsi="Arial" w:cs="Arial"/>
          <w:szCs w:val="22"/>
        </w:rPr>
        <w:t>przed dniem 1 stycznia 2010 roku</w:t>
      </w:r>
      <w:r w:rsidRPr="00B918CE">
        <w:rPr>
          <w:rFonts w:ascii="Arial" w:hAnsi="Arial" w:cs="Arial"/>
          <w:szCs w:val="22"/>
        </w:rPr>
        <w:t>,</w:t>
      </w:r>
    </w:p>
    <w:p w:rsidR="00B918CE" w:rsidRPr="00B918CE" w:rsidRDefault="00B918CE" w:rsidP="004B623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w dniu złożenia wniosku o bonifikatę, kwestia następstwa prawnego wnioskodawcy po właścicielach lub współwłaścicielach nieruchomości podlegającej przekształceniu, nie została ujawniona w treści księgi wieczystej,</w:t>
      </w:r>
    </w:p>
    <w:p w:rsidR="000F7AE2" w:rsidRDefault="00B918CE" w:rsidP="004B623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 xml:space="preserve">zobowiązany do uiszczenia opłaty za przekształcenie posiada zaległości w należnościach pieniężnych wobec Miasta Kielce z tytułu opłat rocznych za użytkowanie wieczyste oraz za przekształcenie, przez co rozumie się należność główną, odsetki, koszty postępowania sądowego i egzekucyjnego oraz inne należności uboczne w odniesieniu do nieruchomości przekształconej, według stanu na dzień zgłoszenia przez zobowiązanego na piśmie zamiaru wniesienia opłaty jednorazowej.    </w:t>
      </w:r>
    </w:p>
    <w:p w:rsidR="00B918CE" w:rsidRPr="00B918CE" w:rsidRDefault="000F7AE2" w:rsidP="004B623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opłat za przekształcenie </w:t>
      </w:r>
      <w:r>
        <w:rPr>
          <w:rFonts w:ascii="Arial" w:hAnsi="Arial" w:cs="Arial"/>
          <w:szCs w:val="22"/>
        </w:rPr>
        <w:t xml:space="preserve">dotyczy </w:t>
      </w:r>
      <w:r>
        <w:rPr>
          <w:rFonts w:ascii="Arial" w:hAnsi="Arial" w:cs="Arial"/>
          <w:szCs w:val="22"/>
        </w:rPr>
        <w:t>udziałów w prawie użytkowania wieczystego związanych z lokalami niemieszkalnymi w budynkach wielolokalowych.</w:t>
      </w:r>
      <w:r w:rsidR="00B918CE" w:rsidRPr="00B918CE">
        <w:rPr>
          <w:rFonts w:ascii="Arial" w:hAnsi="Arial" w:cs="Arial"/>
          <w:szCs w:val="22"/>
        </w:rPr>
        <w:t> </w:t>
      </w:r>
    </w:p>
    <w:p w:rsidR="00B918CE" w:rsidRPr="00B918CE" w:rsidRDefault="004B6230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7.2</w:t>
      </w:r>
      <w:r w:rsidR="00B918CE" w:rsidRPr="00B918CE">
        <w:rPr>
          <w:rStyle w:val="Pogrubienie"/>
          <w:rFonts w:ascii="Arial" w:hAnsi="Arial" w:cs="Arial"/>
          <w:sz w:val="22"/>
          <w:szCs w:val="22"/>
        </w:rPr>
        <w:t>.2.W odniesieniu do nieruchomości Skarbu Państwa</w:t>
      </w:r>
    </w:p>
    <w:p w:rsidR="00B918CE" w:rsidRDefault="004B6230" w:rsidP="00B918CE">
      <w:pPr>
        <w:pStyle w:val="NormalnyWeb"/>
        <w:spacing w:before="0" w:after="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7.2</w:t>
      </w:r>
      <w:r w:rsidR="00B918CE" w:rsidRPr="00B918CE">
        <w:rPr>
          <w:rStyle w:val="Pogrubienie"/>
          <w:rFonts w:ascii="Arial" w:hAnsi="Arial" w:cs="Arial"/>
          <w:sz w:val="22"/>
          <w:szCs w:val="22"/>
        </w:rPr>
        <w:t xml:space="preserve">.2.1. Bonifikaty od opłaty </w:t>
      </w:r>
      <w:r w:rsidR="00BB616D">
        <w:rPr>
          <w:rStyle w:val="Pogrubienie"/>
          <w:rFonts w:ascii="Arial" w:hAnsi="Arial" w:cs="Arial"/>
          <w:sz w:val="22"/>
          <w:szCs w:val="22"/>
        </w:rPr>
        <w:t>rocznej</w:t>
      </w:r>
    </w:p>
    <w:p w:rsidR="00BB616D" w:rsidRPr="00B918CE" w:rsidRDefault="00BB616D" w:rsidP="00BB616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W przypadku wnoszenia opłaty za dany rok osobom fizycznym będącym właścicielami budynków mieszkalnych jednorodzinnych lub lokali mieszkalnych, przysługuje bonifikata od tej opłaty w wysokości 50% należnej opłaty.</w:t>
      </w:r>
    </w:p>
    <w:p w:rsidR="00BB616D" w:rsidRPr="00B918CE" w:rsidRDefault="00BB616D" w:rsidP="00BB616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Do bonifikaty uprawnione są osoby fizyczne, których dochód miesięczny na jednego członka gospodarstwa domowego nie przekracza 50% przeciętnego wynagrodzenia w gospodarce narodowej w roku poprzedzającym rok, za który opłata ma być wnoszona, ogłaszanego przez Prezesa Głównego Urzędu Statystycznego w Dzienniku Urzędowym Rzeczypospolitej Polskiej „Monitor Polski".</w:t>
      </w:r>
    </w:p>
    <w:p w:rsidR="00BB616D" w:rsidRPr="00B918CE" w:rsidRDefault="00BB616D" w:rsidP="00BB616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Dochód miesięczny jest obliczany jako średnia miesięczna z dochodu, o którym mowa w przepisach o dodatkach mieszkaniowych, uzyskanego w roku poprzedzającym rok, za który opłata jest wnoszona. Ciężar dowodu, że istnieją przesłanki udzielenia bonifikaty od tej opłaty, spoczywa na właścicielu.</w:t>
      </w:r>
    </w:p>
    <w:p w:rsidR="00BB616D" w:rsidRPr="00B918CE" w:rsidRDefault="00BB616D" w:rsidP="00BB616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Przez gospodarstwo domowe rozumie się gospodarstwo prowadzone przez właściciela, samodzielnie lub wspólnie z małżonkiem lub innymi osobami stale z nim zamieszkującymi i gospodarującymi na nieruchomości podlegającej przekształceniu.</w:t>
      </w:r>
    </w:p>
    <w:p w:rsidR="00BB616D" w:rsidRDefault="00BB616D" w:rsidP="00BB616D">
      <w:pPr>
        <w:pStyle w:val="NormalnyWeb"/>
        <w:spacing w:before="0" w:after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60A98">
        <w:rPr>
          <w:rStyle w:val="Pogrubienie"/>
          <w:rFonts w:ascii="Arial" w:hAnsi="Arial" w:cs="Arial"/>
          <w:b w:val="0"/>
          <w:sz w:val="22"/>
          <w:szCs w:val="22"/>
        </w:rPr>
        <w:t>Wniosek o udzielenie bonifikaty należy złożyć w terminie do dnia 1 marca roku, za który opłata jest wnoszona</w:t>
      </w:r>
      <w:r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BB616D" w:rsidRDefault="00BB616D" w:rsidP="00BB616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B616D">
        <w:rPr>
          <w:rFonts w:ascii="Arial" w:hAnsi="Arial" w:cs="Arial"/>
          <w:b/>
          <w:sz w:val="22"/>
          <w:szCs w:val="22"/>
        </w:rPr>
        <w:t>Bonifikaty nie stosuje się</w:t>
      </w:r>
      <w:r w:rsidRPr="00B918CE">
        <w:rPr>
          <w:rFonts w:ascii="Arial" w:hAnsi="Arial" w:cs="Arial"/>
          <w:sz w:val="22"/>
          <w:szCs w:val="22"/>
        </w:rPr>
        <w:t>, jeżeli w dniu złożenia wniosku o bonifikatę, kwestia następstwa prawnego wnioskodawcy po właścicielach lub współwłaścicielach nieruchomości podlegającej przekształceniu, nie została ujawniona w treści księgi wieczystej.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B616D" w:rsidRDefault="00BB616D" w:rsidP="00BB616D">
      <w:pPr>
        <w:pStyle w:val="NormalnyWeb"/>
        <w:spacing w:before="0" w:after="0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Bonifikaty nie stosuje się do opłat za przekształcenie udziałów w prawie użytkowania wieczystego związanych z lokalami niemieszkalnymi w budynkach wi</w:t>
      </w:r>
      <w:r w:rsidR="000F7AE2">
        <w:rPr>
          <w:rFonts w:ascii="Arial" w:hAnsi="Arial" w:cs="Arial"/>
          <w:sz w:val="22"/>
          <w:szCs w:val="22"/>
        </w:rPr>
        <w:t>elo</w:t>
      </w:r>
      <w:r>
        <w:rPr>
          <w:rFonts w:ascii="Arial" w:hAnsi="Arial" w:cs="Arial"/>
          <w:sz w:val="22"/>
          <w:szCs w:val="22"/>
        </w:rPr>
        <w:t xml:space="preserve">lokalowych. </w:t>
      </w:r>
    </w:p>
    <w:p w:rsidR="00BB616D" w:rsidRPr="00B918CE" w:rsidRDefault="00BB616D" w:rsidP="00B918CE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7.2.2.2. </w:t>
      </w:r>
      <w:r w:rsidRPr="00B918CE">
        <w:rPr>
          <w:rStyle w:val="Pogrubienie"/>
          <w:rFonts w:ascii="Arial" w:hAnsi="Arial" w:cs="Arial"/>
          <w:sz w:val="22"/>
          <w:szCs w:val="22"/>
        </w:rPr>
        <w:t>Bonifikaty od opłaty jednorazowej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W przypadku wniesienia opłaty jednorazowej za przekształcenie osobom fizycznym będącym właścicielami budynków mieszkalnych jednorodzinnych lub lokali mieszkalnych lub spółdzielniom mieszkaniowym przysługuje bonifikata od tej opłaty w wysokości:</w:t>
      </w:r>
    </w:p>
    <w:p w:rsidR="00B918CE" w:rsidRPr="00B918CE" w:rsidRDefault="00B918CE" w:rsidP="004B623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60% - w przypadku gdy opłata jednorazowa zostanie wniesiona w roku, w którym nastąpiło przekształcenie;</w:t>
      </w:r>
    </w:p>
    <w:p w:rsidR="00B918CE" w:rsidRPr="00B918CE" w:rsidRDefault="00B918CE" w:rsidP="004B623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50% - w przypadku gdy opłata jednorazowa zostanie wniesiona w drugim roku po przekształceniu;</w:t>
      </w:r>
    </w:p>
    <w:p w:rsidR="00B918CE" w:rsidRPr="00B918CE" w:rsidRDefault="00B918CE" w:rsidP="004B623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40% - w przypadku gdy opłata jednorazowa zostanie wniesiona w trzecim roku po przekształceniu;</w:t>
      </w:r>
    </w:p>
    <w:p w:rsidR="00B918CE" w:rsidRPr="00B918CE" w:rsidRDefault="00B918CE" w:rsidP="004B623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30% - w przypadku gdy opłata jednorazowa zostanie wniesiona w czwartym roku po przekształceniu;</w:t>
      </w:r>
    </w:p>
    <w:p w:rsidR="00B918CE" w:rsidRPr="00B918CE" w:rsidRDefault="00B918CE" w:rsidP="004B623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20% - w przypadku gdy opłata jednorazowa zostanie wniesiona w piątym roku po przekształceniu;</w:t>
      </w:r>
    </w:p>
    <w:p w:rsidR="00B918CE" w:rsidRPr="00B918CE" w:rsidRDefault="00B918CE" w:rsidP="004B623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B918CE">
        <w:rPr>
          <w:rFonts w:ascii="Arial" w:hAnsi="Arial" w:cs="Arial"/>
          <w:szCs w:val="22"/>
        </w:rPr>
        <w:t>10% - w przypadku gdy opłata jednorazowa zostanie wniesiona w szóstym roku po przekształceniu.</w:t>
      </w:r>
    </w:p>
    <w:p w:rsidR="00B918CE" w:rsidRPr="00B918CE" w:rsidRDefault="00B918CE" w:rsidP="00B918CE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918CE">
        <w:rPr>
          <w:rFonts w:ascii="Arial" w:hAnsi="Arial" w:cs="Arial"/>
          <w:sz w:val="22"/>
          <w:szCs w:val="22"/>
        </w:rPr>
        <w:t>Bonifikaty obejmują również opłaty i opłaty jednorazowe wnoszone za stanowiska postojowe i garaże.</w:t>
      </w:r>
    </w:p>
    <w:p w:rsidR="000F7AE2" w:rsidRDefault="000F7AE2" w:rsidP="00560A98">
      <w:pPr>
        <w:pStyle w:val="NormalnyWeb"/>
        <w:spacing w:before="0" w:after="0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FB1561" w:rsidRPr="00560A98" w:rsidRDefault="00FB1561" w:rsidP="00560A98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560A98">
        <w:rPr>
          <w:rStyle w:val="Pogrubienie"/>
          <w:rFonts w:ascii="Arial" w:hAnsi="Arial" w:cs="Arial"/>
          <w:sz w:val="22"/>
          <w:szCs w:val="22"/>
        </w:rPr>
        <w:t>7.2.3.W odniesieniu do nieruchomości Gminy Kielce i Skarbu Państwa</w:t>
      </w:r>
      <w:r w:rsidR="00560A98" w:rsidRPr="00560A98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560A98">
        <w:rPr>
          <w:rFonts w:ascii="Arial" w:hAnsi="Arial" w:cs="Arial"/>
          <w:b/>
          <w:sz w:val="22"/>
          <w:szCs w:val="22"/>
        </w:rPr>
        <w:t>Właściwy organ udziela, na wniosek, bonifikaty od opłaty jednorazowej w wysokości 99%, osobom będącym właścicielami budynków mieszkalnych jednorodzinnych lub lokali mieszkalnych służących wyłącznie zaspokajaniu potrzeb mieszkaniowych tych osób, w niżej opisanych przypadkach:</w:t>
      </w:r>
    </w:p>
    <w:p w:rsidR="00FB1561" w:rsidRPr="00BB2D86" w:rsidRDefault="00FB1561" w:rsidP="00BB2D86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B2D86">
        <w:rPr>
          <w:rFonts w:ascii="Arial" w:hAnsi="Arial" w:cs="Arial"/>
          <w:sz w:val="22"/>
          <w:szCs w:val="22"/>
        </w:rPr>
        <w:t xml:space="preserve">osobom,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osób, </w:t>
      </w:r>
    </w:p>
    <w:p w:rsidR="00FB1561" w:rsidRPr="00BB2D86" w:rsidRDefault="00FB1561" w:rsidP="00BB2D86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B2D86">
        <w:rPr>
          <w:rFonts w:ascii="Arial" w:hAnsi="Arial" w:cs="Arial"/>
          <w:sz w:val="22"/>
          <w:szCs w:val="22"/>
        </w:rPr>
        <w:t xml:space="preserve">członkom rodzin wielodzietnych, o których mowa w ustawie z dnia 5 grudnia 2014 roku o Karcie Dużej Rodziny (Dz. U. z 2017r. poz. 1832 ze zm.), </w:t>
      </w:r>
    </w:p>
    <w:p w:rsidR="00FB1561" w:rsidRPr="00BB2D86" w:rsidRDefault="00FB1561" w:rsidP="00BB2D86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B2D86">
        <w:rPr>
          <w:rFonts w:ascii="Arial" w:hAnsi="Arial" w:cs="Arial"/>
          <w:sz w:val="22"/>
          <w:szCs w:val="22"/>
        </w:rPr>
        <w:t xml:space="preserve">inwalidom wojennym i wojskowym w rozumieniu ustawy z dnia 29 maja 1974 roku o zaopatrzeniu inwalidów wojennych i wojskowych oraz ich rodzin (tekst jednolity Dz. U. z 2017r. poz. 2193 ze zm.), </w:t>
      </w:r>
    </w:p>
    <w:p w:rsidR="00FB1561" w:rsidRPr="00BB2D86" w:rsidRDefault="00FB1561" w:rsidP="00BB2D86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B2D86">
        <w:rPr>
          <w:rFonts w:ascii="Arial" w:hAnsi="Arial" w:cs="Arial"/>
          <w:sz w:val="22"/>
          <w:szCs w:val="22"/>
        </w:rPr>
        <w:t>kombatantom oraz ofiarom represji wojennych i okresu powojennego w rozumieniu ustawy z dnia 24 stycznia 1991 r</w:t>
      </w:r>
      <w:r w:rsidR="00A56F8B">
        <w:rPr>
          <w:rFonts w:ascii="Arial" w:hAnsi="Arial" w:cs="Arial"/>
          <w:sz w:val="22"/>
          <w:szCs w:val="22"/>
        </w:rPr>
        <w:t>oku</w:t>
      </w:r>
      <w:r w:rsidRPr="00BB2D86">
        <w:rPr>
          <w:rFonts w:ascii="Arial" w:hAnsi="Arial" w:cs="Arial"/>
          <w:sz w:val="22"/>
          <w:szCs w:val="22"/>
        </w:rPr>
        <w:t xml:space="preserve"> o kombatantach oraz niektórych osobach będących ofiarami represji wojennych i okresu powojennego (tekst jednolity Dz. U. z 2018 r., poz. 276 ze zm.), </w:t>
      </w:r>
    </w:p>
    <w:p w:rsidR="00FB1561" w:rsidRPr="00BB2D86" w:rsidRDefault="00FB1561" w:rsidP="00BB2D86">
      <w:pPr>
        <w:numPr>
          <w:ilvl w:val="0"/>
          <w:numId w:val="18"/>
        </w:numPr>
        <w:ind w:left="284" w:hanging="284"/>
        <w:rPr>
          <w:rFonts w:ascii="Arial" w:hAnsi="Arial" w:cs="Arial"/>
          <w:b/>
          <w:szCs w:val="22"/>
        </w:rPr>
      </w:pPr>
      <w:r w:rsidRPr="00BB2D86">
        <w:rPr>
          <w:rFonts w:ascii="Arial" w:hAnsi="Arial" w:cs="Arial"/>
          <w:szCs w:val="22"/>
        </w:rPr>
        <w:t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roku o świadczeniach opieki zdrowotnej finansowanych ze środków publicznych (tekst jednolity Dz. U. z 2018r. poz. 1510 ze zm.) lub ich opiekunom prawnym.</w:t>
      </w:r>
    </w:p>
    <w:p w:rsidR="00FB1561" w:rsidRPr="00531FFF" w:rsidRDefault="00FB1561" w:rsidP="00B918CE">
      <w:pPr>
        <w:rPr>
          <w:rFonts w:ascii="Arial" w:hAnsi="Arial" w:cs="Arial"/>
          <w:sz w:val="10"/>
          <w:szCs w:val="22"/>
        </w:rPr>
      </w:pPr>
    </w:p>
    <w:p w:rsidR="008E2D8B" w:rsidRPr="00531FFF" w:rsidRDefault="008E2D8B" w:rsidP="008E2D8B">
      <w:pPr>
        <w:rPr>
          <w:rFonts w:ascii="Arial" w:hAnsi="Arial" w:cs="Arial"/>
          <w:b/>
          <w:i/>
          <w:szCs w:val="19"/>
        </w:rPr>
      </w:pPr>
      <w:r w:rsidRPr="00531FFF">
        <w:rPr>
          <w:rFonts w:ascii="Arial" w:hAnsi="Arial" w:cs="Arial"/>
          <w:b/>
          <w:i/>
          <w:szCs w:val="19"/>
        </w:rPr>
        <w:t xml:space="preserve">Zgodnie z art. 20 ust. 2 ustawy, jeżeli zaświadczenie zostało doręczone po dniu </w:t>
      </w:r>
      <w:r w:rsidR="003909BF" w:rsidRPr="00531FFF">
        <w:rPr>
          <w:rFonts w:ascii="Arial" w:hAnsi="Arial" w:cs="Arial"/>
          <w:b/>
          <w:i/>
          <w:szCs w:val="19"/>
        </w:rPr>
        <w:t xml:space="preserve">                 </w:t>
      </w:r>
      <w:r w:rsidRPr="00531FFF">
        <w:rPr>
          <w:rFonts w:ascii="Arial" w:hAnsi="Arial" w:cs="Arial"/>
          <w:b/>
          <w:i/>
          <w:szCs w:val="19"/>
        </w:rPr>
        <w:t xml:space="preserve">30 listopada 2019r., osobom fizycznym będącym właścicielami budynków mieszkalnych jednorodzinnych lub lokali mieszkalnych, w przypadku zgłoszenia zamiaru wniesienia opłaty jednorazowej w terminie 2 miesięcy od dnia otrzymania tego zaświadczenia, przysługuje </w:t>
      </w:r>
      <w:r w:rsidRPr="00531FFF">
        <w:rPr>
          <w:rFonts w:ascii="Arial" w:hAnsi="Arial" w:cs="Arial"/>
          <w:b/>
          <w:i/>
          <w:szCs w:val="19"/>
          <w:u w:val="single"/>
        </w:rPr>
        <w:t>bonifikata od tej opłaty w wymiarze obowiązującym w roku, w którym nastąpiło przekształcenie (tj. w roku 2019)</w:t>
      </w:r>
      <w:r w:rsidRPr="00531FFF">
        <w:rPr>
          <w:rFonts w:ascii="Arial" w:hAnsi="Arial" w:cs="Arial"/>
          <w:b/>
          <w:i/>
          <w:szCs w:val="19"/>
        </w:rPr>
        <w:t>, pod warunkiem wniesienia opłaty jednorazowej uwzględniającej tę bonifikatę w terminie 2 miesięcy od dnia otrzymania informacji (o opłacie jednorazowej).</w:t>
      </w:r>
    </w:p>
    <w:p w:rsidR="008E2D8B" w:rsidRDefault="008E2D8B" w:rsidP="00B918CE">
      <w:pPr>
        <w:rPr>
          <w:rFonts w:ascii="Arial" w:hAnsi="Arial" w:cs="Arial"/>
          <w:szCs w:val="22"/>
        </w:rPr>
      </w:pPr>
    </w:p>
    <w:p w:rsidR="003D5C2C" w:rsidRPr="00C342D8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C342D8" w:rsidRPr="00531FFF" w:rsidRDefault="00C342D8" w:rsidP="00C342D8">
      <w:pPr>
        <w:pStyle w:val="Akapitzlist"/>
        <w:ind w:left="360"/>
        <w:jc w:val="both"/>
        <w:rPr>
          <w:rFonts w:ascii="Arial" w:hAnsi="Arial" w:cs="Arial"/>
          <w:sz w:val="10"/>
          <w:szCs w:val="22"/>
          <w:lang w:val="pl-PL"/>
        </w:rPr>
      </w:pPr>
    </w:p>
    <w:p w:rsidR="003D5C2C" w:rsidRDefault="003D5C2C" w:rsidP="00004A35">
      <w:pPr>
        <w:ind w:left="1701" w:hanging="1701"/>
        <w:rPr>
          <w:rFonts w:ascii="Arial" w:hAnsi="Arial" w:cs="Arial"/>
          <w:szCs w:val="22"/>
        </w:rPr>
      </w:pPr>
      <w:r w:rsidRPr="006B3594">
        <w:rPr>
          <w:rFonts w:ascii="Arial" w:hAnsi="Arial" w:cs="Arial"/>
          <w:b/>
          <w:szCs w:val="22"/>
        </w:rPr>
        <w:t>Załącznik Nr</w:t>
      </w:r>
      <w:r w:rsidR="0077256B" w:rsidRPr="006B3594">
        <w:rPr>
          <w:rFonts w:ascii="Arial" w:hAnsi="Arial" w:cs="Arial"/>
          <w:b/>
          <w:szCs w:val="22"/>
        </w:rPr>
        <w:t xml:space="preserve"> 1</w:t>
      </w:r>
      <w:r w:rsidR="0077256B">
        <w:rPr>
          <w:rFonts w:ascii="Arial" w:hAnsi="Arial" w:cs="Arial"/>
          <w:szCs w:val="22"/>
        </w:rPr>
        <w:t xml:space="preserve"> </w:t>
      </w:r>
      <w:r w:rsidR="006B3594">
        <w:rPr>
          <w:rFonts w:ascii="Arial" w:hAnsi="Arial" w:cs="Arial"/>
          <w:szCs w:val="22"/>
        </w:rPr>
        <w:t>–</w:t>
      </w:r>
      <w:r w:rsidR="0077256B">
        <w:rPr>
          <w:rFonts w:ascii="Arial" w:hAnsi="Arial" w:cs="Arial"/>
          <w:szCs w:val="22"/>
        </w:rPr>
        <w:t xml:space="preserve"> </w:t>
      </w:r>
      <w:r w:rsidR="0077256B" w:rsidRPr="007612F2">
        <w:rPr>
          <w:rFonts w:ascii="Arial" w:hAnsi="Arial" w:cs="Arial"/>
          <w:szCs w:val="22"/>
        </w:rPr>
        <w:t>Wniosek</w:t>
      </w:r>
      <w:r w:rsidR="006B3594">
        <w:rPr>
          <w:rFonts w:ascii="Arial" w:hAnsi="Arial" w:cs="Arial"/>
          <w:szCs w:val="22"/>
        </w:rPr>
        <w:t xml:space="preserve"> </w:t>
      </w:r>
      <w:r w:rsidR="0077256B" w:rsidRPr="007612F2">
        <w:rPr>
          <w:rFonts w:ascii="Arial" w:hAnsi="Arial" w:cs="Arial"/>
          <w:szCs w:val="22"/>
        </w:rPr>
        <w:t>o wydanie zaświadczenia potwierdzającego przekształcenie prawa użytkowania wieczystego gruntu zabudowanego na cele mieszkaniowe w prawo własności tego gruntu</w:t>
      </w:r>
    </w:p>
    <w:p w:rsidR="006B3594" w:rsidRDefault="006B3594" w:rsidP="00004A35">
      <w:pPr>
        <w:tabs>
          <w:tab w:val="left" w:pos="9072"/>
        </w:tabs>
        <w:ind w:left="1701" w:hanging="1701"/>
        <w:jc w:val="left"/>
        <w:rPr>
          <w:rFonts w:ascii="Arial" w:hAnsi="Arial" w:cs="Arial"/>
          <w:szCs w:val="22"/>
        </w:rPr>
      </w:pPr>
      <w:r w:rsidRPr="006B3594">
        <w:rPr>
          <w:rFonts w:ascii="Arial" w:hAnsi="Arial" w:cs="Arial"/>
          <w:b/>
          <w:szCs w:val="22"/>
        </w:rPr>
        <w:t xml:space="preserve">Załącznik Nr </w:t>
      </w:r>
      <w:r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szCs w:val="22"/>
        </w:rPr>
        <w:t xml:space="preserve"> – Zgłoszenie zamiaru jednorazowego wniesienia opłaty z tytułu</w:t>
      </w:r>
      <w:r w:rsidR="00004A35">
        <w:rPr>
          <w:rFonts w:ascii="Arial" w:hAnsi="Arial" w:cs="Arial"/>
          <w:szCs w:val="22"/>
        </w:rPr>
        <w:t xml:space="preserve"> p</w:t>
      </w:r>
      <w:r w:rsidRPr="007612F2">
        <w:rPr>
          <w:rFonts w:ascii="Arial" w:hAnsi="Arial" w:cs="Arial"/>
          <w:szCs w:val="22"/>
        </w:rPr>
        <w:t>rzekształceni</w:t>
      </w:r>
      <w:r>
        <w:rPr>
          <w:rFonts w:ascii="Arial" w:hAnsi="Arial" w:cs="Arial"/>
          <w:szCs w:val="22"/>
        </w:rPr>
        <w:t>a</w:t>
      </w:r>
      <w:r w:rsidRPr="007612F2">
        <w:rPr>
          <w:rFonts w:ascii="Arial" w:hAnsi="Arial" w:cs="Arial"/>
          <w:szCs w:val="22"/>
        </w:rPr>
        <w:t xml:space="preserve"> </w:t>
      </w:r>
    </w:p>
    <w:p w:rsidR="006B3594" w:rsidRPr="006B3594" w:rsidRDefault="006B3594" w:rsidP="00DD668D">
      <w:pPr>
        <w:ind w:left="1701" w:hanging="1701"/>
        <w:jc w:val="left"/>
        <w:rPr>
          <w:rFonts w:ascii="Arial" w:hAnsi="Arial" w:cs="Arial"/>
          <w:szCs w:val="22"/>
        </w:rPr>
      </w:pPr>
      <w:r w:rsidRPr="006B3594">
        <w:rPr>
          <w:rFonts w:ascii="Arial" w:hAnsi="Arial" w:cs="Arial"/>
          <w:b/>
          <w:szCs w:val="22"/>
        </w:rPr>
        <w:t>Załącznik Nr 3</w:t>
      </w:r>
      <w:r w:rsidRPr="006B3594">
        <w:rPr>
          <w:rFonts w:ascii="Arial" w:hAnsi="Arial" w:cs="Arial"/>
          <w:szCs w:val="22"/>
        </w:rPr>
        <w:t xml:space="preserve"> – Wniosek o zastosowanie 50% bonifikaty od </w:t>
      </w:r>
      <w:r w:rsidRPr="00531FFF">
        <w:rPr>
          <w:rFonts w:ascii="Arial" w:hAnsi="Arial" w:cs="Arial"/>
          <w:szCs w:val="22"/>
        </w:rPr>
        <w:t>rocznej</w:t>
      </w:r>
      <w:r w:rsidRPr="006B3594">
        <w:rPr>
          <w:rFonts w:ascii="Arial" w:hAnsi="Arial" w:cs="Arial"/>
          <w:szCs w:val="22"/>
        </w:rPr>
        <w:t xml:space="preserve"> opłaty z tytułu przekształceni</w:t>
      </w:r>
      <w:r w:rsidR="00004A35">
        <w:rPr>
          <w:rFonts w:ascii="Arial" w:hAnsi="Arial" w:cs="Arial"/>
          <w:szCs w:val="22"/>
        </w:rPr>
        <w:t>a</w:t>
      </w:r>
      <w:r w:rsidRPr="006B3594">
        <w:rPr>
          <w:rFonts w:ascii="Arial" w:hAnsi="Arial" w:cs="Arial"/>
          <w:szCs w:val="22"/>
        </w:rPr>
        <w:t xml:space="preserve"> prawa użytkowania wieczystego gruntu zabudowanego na cele mieszkaniowe w prawo własności tego gruntu </w:t>
      </w:r>
    </w:p>
    <w:p w:rsidR="00DD668D" w:rsidRDefault="00DD668D" w:rsidP="00DD668D">
      <w:pPr>
        <w:ind w:left="1701" w:hanging="1701"/>
        <w:jc w:val="left"/>
        <w:rPr>
          <w:rFonts w:ascii="Arial" w:hAnsi="Arial" w:cs="Arial"/>
          <w:szCs w:val="22"/>
        </w:rPr>
      </w:pPr>
      <w:r w:rsidRPr="006B3594">
        <w:rPr>
          <w:rFonts w:ascii="Arial" w:hAnsi="Arial" w:cs="Arial"/>
          <w:b/>
          <w:szCs w:val="22"/>
        </w:rPr>
        <w:t xml:space="preserve">Załącznik Nr </w:t>
      </w:r>
      <w:r>
        <w:rPr>
          <w:rFonts w:ascii="Arial" w:hAnsi="Arial" w:cs="Arial"/>
          <w:b/>
          <w:szCs w:val="22"/>
        </w:rPr>
        <w:t>4</w:t>
      </w:r>
      <w:r w:rsidRPr="006B3594">
        <w:rPr>
          <w:rFonts w:ascii="Arial" w:hAnsi="Arial" w:cs="Arial"/>
          <w:szCs w:val="22"/>
        </w:rPr>
        <w:t xml:space="preserve"> – Wniosek o zastosowanie </w:t>
      </w:r>
      <w:r>
        <w:rPr>
          <w:rFonts w:ascii="Arial" w:hAnsi="Arial" w:cs="Arial"/>
          <w:szCs w:val="22"/>
        </w:rPr>
        <w:t>99</w:t>
      </w:r>
      <w:r w:rsidRPr="006B3594">
        <w:rPr>
          <w:rFonts w:ascii="Arial" w:hAnsi="Arial" w:cs="Arial"/>
          <w:szCs w:val="22"/>
        </w:rPr>
        <w:t xml:space="preserve">% bonifikaty od opłaty </w:t>
      </w:r>
      <w:r>
        <w:rPr>
          <w:rFonts w:ascii="Arial" w:hAnsi="Arial" w:cs="Arial"/>
          <w:szCs w:val="22"/>
        </w:rPr>
        <w:t xml:space="preserve">jednorazowej </w:t>
      </w:r>
      <w:r w:rsidRPr="006B3594">
        <w:rPr>
          <w:rFonts w:ascii="Arial" w:hAnsi="Arial" w:cs="Arial"/>
          <w:szCs w:val="22"/>
        </w:rPr>
        <w:t>z tytułu przekształceni</w:t>
      </w:r>
      <w:r>
        <w:rPr>
          <w:rFonts w:ascii="Arial" w:hAnsi="Arial" w:cs="Arial"/>
          <w:szCs w:val="22"/>
        </w:rPr>
        <w:t>a</w:t>
      </w:r>
      <w:r w:rsidRPr="006B3594">
        <w:rPr>
          <w:rFonts w:ascii="Arial" w:hAnsi="Arial" w:cs="Arial"/>
          <w:szCs w:val="22"/>
        </w:rPr>
        <w:t xml:space="preserve"> prawa użytkowania wieczystego gruntu zabudowanego na cele mieszkaniowe w prawo własności tego gruntu </w:t>
      </w:r>
    </w:p>
    <w:p w:rsidR="00DD668D" w:rsidRDefault="00DD668D" w:rsidP="00DD668D">
      <w:pPr>
        <w:ind w:left="1701" w:hanging="1701"/>
        <w:jc w:val="left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77256B" w:rsidRDefault="0077256B" w:rsidP="0077256B">
      <w:pPr>
        <w:ind w:right="-1418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Biuro Obsługi Interesanta </w:t>
      </w:r>
    </w:p>
    <w:p w:rsidR="0077256B" w:rsidRDefault="0077256B" w:rsidP="0077256B">
      <w:pPr>
        <w:ind w:right="-1418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25-303 Kielce, Rynek 1, tel. (41) 36 76 009 </w:t>
      </w:r>
    </w:p>
    <w:p w:rsidR="00266778" w:rsidRDefault="0077256B" w:rsidP="0077256B">
      <w:r>
        <w:rPr>
          <w:rFonts w:ascii="Arial" w:hAnsi="Arial" w:cs="Arial"/>
          <w:szCs w:val="22"/>
        </w:rPr>
        <w:t>25-659 Kielce, ul. Strycharska 6, tel. (41) 36 76 509</w:t>
      </w:r>
    </w:p>
    <w:sectPr w:rsidR="002667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A8" w:rsidRDefault="001008A8" w:rsidP="006D707F">
      <w:r>
        <w:separator/>
      </w:r>
    </w:p>
  </w:endnote>
  <w:endnote w:type="continuationSeparator" w:id="0">
    <w:p w:rsidR="001008A8" w:rsidRDefault="001008A8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A8" w:rsidRDefault="001008A8" w:rsidP="006D707F">
      <w:r>
        <w:separator/>
      </w:r>
    </w:p>
  </w:footnote>
  <w:footnote w:type="continuationSeparator" w:id="0">
    <w:p w:rsidR="001008A8" w:rsidRDefault="001008A8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30"/>
      <w:gridCol w:w="6255"/>
      <w:gridCol w:w="1577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1A120FA9" wp14:editId="41EF7A2C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A56F8B">
            <w:rPr>
              <w:rFonts w:ascii="Arial" w:hAnsi="Arial" w:cs="Arial"/>
              <w:sz w:val="32"/>
            </w:rPr>
            <w:t>GN/107</w:t>
          </w:r>
          <w:r>
            <w:rPr>
              <w:rFonts w:ascii="Arial" w:hAnsi="Arial" w:cs="Arial"/>
              <w:sz w:val="32"/>
            </w:rPr>
            <w:t>/</w:t>
          </w:r>
          <w:r w:rsidR="00A56F8B">
            <w:rPr>
              <w:rFonts w:ascii="Arial" w:hAnsi="Arial" w:cs="Arial"/>
              <w:sz w:val="32"/>
            </w:rPr>
            <w:t>2019</w:t>
          </w:r>
        </w:p>
        <w:p w:rsidR="009C2AF1" w:rsidRDefault="009C2AF1" w:rsidP="00637275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0-03-05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37275">
                <w:rPr>
                  <w:rStyle w:val="Styl3"/>
                </w:rPr>
                <w:t>2020-03-05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E8441E" w:rsidP="00E8441E">
          <w:r w:rsidRPr="006A67DF">
            <w:rPr>
              <w:rFonts w:ascii="Arial" w:hAnsi="Arial" w:cs="Arial"/>
              <w:b/>
              <w:szCs w:val="22"/>
            </w:rPr>
            <w:t>Przekształcenie prawa użytkowania wieczystego gruntów zabudowanych na cele mieszkaniowe w prawo własności tych gruntów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727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FA0F98">
            <w:rPr>
              <w:noProof/>
            </w:rPr>
            <w:fldChar w:fldCharType="begin"/>
          </w:r>
          <w:r w:rsidR="00FA0F98">
            <w:rPr>
              <w:noProof/>
            </w:rPr>
            <w:instrText xml:space="preserve"> NUMPAGES  \* Arabic  \* MERGEFORMAT </w:instrText>
          </w:r>
          <w:r w:rsidR="00FA0F98">
            <w:rPr>
              <w:noProof/>
            </w:rPr>
            <w:fldChar w:fldCharType="separate"/>
          </w:r>
          <w:r w:rsidR="00637275">
            <w:rPr>
              <w:noProof/>
            </w:rPr>
            <w:t>6</w:t>
          </w:r>
          <w:r w:rsidR="00FA0F98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81BC3"/>
    <w:multiLevelType w:val="multilevel"/>
    <w:tmpl w:val="778EF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679FE"/>
    <w:multiLevelType w:val="hybridMultilevel"/>
    <w:tmpl w:val="8070C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6F5"/>
    <w:multiLevelType w:val="hybridMultilevel"/>
    <w:tmpl w:val="B654253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4297B"/>
    <w:multiLevelType w:val="multilevel"/>
    <w:tmpl w:val="FBDA6D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521D8"/>
    <w:multiLevelType w:val="hybridMultilevel"/>
    <w:tmpl w:val="15BAD380"/>
    <w:lvl w:ilvl="0" w:tplc="5DA05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112E"/>
    <w:multiLevelType w:val="multilevel"/>
    <w:tmpl w:val="99DC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416CE"/>
    <w:multiLevelType w:val="multilevel"/>
    <w:tmpl w:val="274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174644"/>
    <w:multiLevelType w:val="multilevel"/>
    <w:tmpl w:val="BDB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E58AB"/>
    <w:multiLevelType w:val="hybridMultilevel"/>
    <w:tmpl w:val="B15A5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5741F"/>
    <w:multiLevelType w:val="multilevel"/>
    <w:tmpl w:val="4358E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000ECD"/>
    <w:multiLevelType w:val="hybridMultilevel"/>
    <w:tmpl w:val="08609F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04A35"/>
    <w:rsid w:val="00020206"/>
    <w:rsid w:val="000F7AE2"/>
    <w:rsid w:val="001008A8"/>
    <w:rsid w:val="00116EED"/>
    <w:rsid w:val="00190B95"/>
    <w:rsid w:val="001C61D8"/>
    <w:rsid w:val="001D59C7"/>
    <w:rsid w:val="00266778"/>
    <w:rsid w:val="002D0095"/>
    <w:rsid w:val="003003B8"/>
    <w:rsid w:val="003909BF"/>
    <w:rsid w:val="003D5C2C"/>
    <w:rsid w:val="003E0D56"/>
    <w:rsid w:val="00462078"/>
    <w:rsid w:val="004B6230"/>
    <w:rsid w:val="00531FFF"/>
    <w:rsid w:val="00560A98"/>
    <w:rsid w:val="00637275"/>
    <w:rsid w:val="006B3594"/>
    <w:rsid w:val="006D707F"/>
    <w:rsid w:val="0077256B"/>
    <w:rsid w:val="0086533B"/>
    <w:rsid w:val="00871697"/>
    <w:rsid w:val="008E2D8B"/>
    <w:rsid w:val="009310A7"/>
    <w:rsid w:val="009B2024"/>
    <w:rsid w:val="009C2AF1"/>
    <w:rsid w:val="00A56F8B"/>
    <w:rsid w:val="00B918CE"/>
    <w:rsid w:val="00BB2D86"/>
    <w:rsid w:val="00BB616D"/>
    <w:rsid w:val="00C342D8"/>
    <w:rsid w:val="00CB6FA9"/>
    <w:rsid w:val="00D3047C"/>
    <w:rsid w:val="00DD668D"/>
    <w:rsid w:val="00E8441E"/>
    <w:rsid w:val="00E94DBE"/>
    <w:rsid w:val="00FA0F98"/>
    <w:rsid w:val="00FA5973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A990455-27E0-4671-AF7A-2398FDE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8441E"/>
    <w:pPr>
      <w:suppressAutoHyphens/>
      <w:spacing w:after="120" w:line="480" w:lineRule="auto"/>
      <w:ind w:left="283"/>
      <w:jc w:val="left"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20206"/>
    <w:rPr>
      <w:color w:val="0563C1" w:themeColor="hyperlink"/>
      <w:u w:val="single"/>
    </w:rPr>
  </w:style>
  <w:style w:type="character" w:customStyle="1" w:styleId="WW8Num8z0">
    <w:name w:val="WW8Num8z0"/>
    <w:rsid w:val="00020206"/>
    <w:rPr>
      <w:rFonts w:ascii="Wingdings" w:hAnsi="Wingdings"/>
      <w:color w:val="auto"/>
    </w:rPr>
  </w:style>
  <w:style w:type="paragraph" w:styleId="NormalnyWeb">
    <w:name w:val="Normal (Web)"/>
    <w:basedOn w:val="Normalny"/>
    <w:uiPriority w:val="99"/>
    <w:rsid w:val="00116EED"/>
    <w:pPr>
      <w:suppressAutoHyphens/>
      <w:spacing w:before="100" w:after="100"/>
      <w:jc w:val="left"/>
    </w:pPr>
    <w:rPr>
      <w:sz w:val="24"/>
      <w:lang w:eastAsia="ar-SA"/>
    </w:rPr>
  </w:style>
  <w:style w:type="character" w:styleId="Pogrubienie">
    <w:name w:val="Strong"/>
    <w:basedOn w:val="Domylnaczcionkaakapitu"/>
    <w:uiPriority w:val="22"/>
    <w:qFormat/>
    <w:rsid w:val="006B3594"/>
    <w:rPr>
      <w:b/>
      <w:bCs/>
    </w:rPr>
  </w:style>
  <w:style w:type="paragraph" w:customStyle="1" w:styleId="Default">
    <w:name w:val="Default"/>
    <w:rsid w:val="00FB1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91B9-F7B0-4315-B6F8-98C4E18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2359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g najgeburska</cp:lastModifiedBy>
  <cp:revision>9</cp:revision>
  <cp:lastPrinted>2020-03-04T11:26:00Z</cp:lastPrinted>
  <dcterms:created xsi:type="dcterms:W3CDTF">2020-02-18T06:46:00Z</dcterms:created>
  <dcterms:modified xsi:type="dcterms:W3CDTF">2020-03-04T13:22:00Z</dcterms:modified>
</cp:coreProperties>
</file>