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38CD" w14:textId="77777777" w:rsidR="00A40025" w:rsidRPr="00B967EC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bCs/>
          <w:sz w:val="24"/>
        </w:rPr>
      </w:pPr>
      <w:r w:rsidRPr="00C44780">
        <w:rPr>
          <w:bCs/>
          <w:sz w:val="24"/>
        </w:rPr>
        <w:t>KP-III.1431.</w:t>
      </w:r>
      <w:r w:rsidR="00C03DA4">
        <w:rPr>
          <w:bCs/>
          <w:sz w:val="24"/>
        </w:rPr>
        <w:t>1</w:t>
      </w:r>
      <w:r w:rsidR="00FF75F8">
        <w:rPr>
          <w:bCs/>
          <w:sz w:val="24"/>
        </w:rPr>
        <w:t>6</w:t>
      </w:r>
      <w:r w:rsidRPr="00C44780">
        <w:rPr>
          <w:bCs/>
          <w:sz w:val="24"/>
        </w:rPr>
        <w:t>.202</w:t>
      </w:r>
      <w:r>
        <w:rPr>
          <w:bCs/>
          <w:sz w:val="24"/>
        </w:rPr>
        <w:t>1</w:t>
      </w:r>
      <w:r w:rsidRPr="00C44780">
        <w:rPr>
          <w:bCs/>
          <w:sz w:val="24"/>
        </w:rPr>
        <w:t xml:space="preserve">        </w:t>
      </w:r>
      <w:r w:rsidRPr="009F2FDD">
        <w:rPr>
          <w:bCs/>
          <w:sz w:val="24"/>
        </w:rPr>
        <w:t xml:space="preserve">                                                                         </w:t>
      </w:r>
      <w:r w:rsidRPr="00B967EC">
        <w:rPr>
          <w:bCs/>
          <w:sz w:val="24"/>
        </w:rPr>
        <w:t xml:space="preserve">Kielce, </w:t>
      </w:r>
      <w:r w:rsidR="00FF75F8">
        <w:rPr>
          <w:bCs/>
          <w:sz w:val="24"/>
        </w:rPr>
        <w:t>21</w:t>
      </w:r>
      <w:r w:rsidRPr="00B967EC">
        <w:rPr>
          <w:bCs/>
          <w:sz w:val="24"/>
        </w:rPr>
        <w:t>.</w:t>
      </w:r>
      <w:r>
        <w:rPr>
          <w:bCs/>
          <w:sz w:val="24"/>
        </w:rPr>
        <w:t>0</w:t>
      </w:r>
      <w:r w:rsidR="00FF75F8">
        <w:rPr>
          <w:bCs/>
          <w:sz w:val="24"/>
        </w:rPr>
        <w:t>9</w:t>
      </w:r>
      <w:r w:rsidRPr="00B967EC">
        <w:rPr>
          <w:bCs/>
          <w:sz w:val="24"/>
        </w:rPr>
        <w:t>.202</w:t>
      </w:r>
      <w:r>
        <w:rPr>
          <w:bCs/>
          <w:sz w:val="24"/>
        </w:rPr>
        <w:t>1</w:t>
      </w:r>
      <w:r w:rsidRPr="00B967EC">
        <w:rPr>
          <w:bCs/>
          <w:sz w:val="24"/>
        </w:rPr>
        <w:t xml:space="preserve"> r.</w:t>
      </w:r>
    </w:p>
    <w:p w14:paraId="4F97B6D6" w14:textId="77777777" w:rsidR="00A40025" w:rsidRPr="009F2FDD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bCs/>
          <w:sz w:val="24"/>
        </w:rPr>
      </w:pPr>
    </w:p>
    <w:p w14:paraId="0A4E0996" w14:textId="77777777" w:rsidR="00A40025" w:rsidRDefault="00A40025" w:rsidP="00A40025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Wyniki </w:t>
      </w:r>
      <w:r w:rsidRPr="009F2FDD">
        <w:rPr>
          <w:b/>
          <w:bCs/>
          <w:sz w:val="24"/>
        </w:rPr>
        <w:t xml:space="preserve">kontroli </w:t>
      </w:r>
      <w:r>
        <w:rPr>
          <w:b/>
          <w:bCs/>
          <w:sz w:val="24"/>
        </w:rPr>
        <w:t xml:space="preserve">problemowej </w:t>
      </w:r>
      <w:r w:rsidRPr="009F2FDD">
        <w:rPr>
          <w:b/>
          <w:bCs/>
          <w:sz w:val="24"/>
        </w:rPr>
        <w:t xml:space="preserve">przeprowadzonej w </w:t>
      </w:r>
      <w:r w:rsidR="00FF75F8">
        <w:rPr>
          <w:b/>
          <w:bCs/>
          <w:sz w:val="24"/>
        </w:rPr>
        <w:t xml:space="preserve">Kieleckim Towarzystwie Budownictwa Społecznego </w:t>
      </w:r>
      <w:r w:rsidR="00E03BB8">
        <w:rPr>
          <w:b/>
          <w:bCs/>
          <w:sz w:val="24"/>
        </w:rPr>
        <w:t xml:space="preserve"> Sp. z o.o. </w:t>
      </w:r>
      <w:r>
        <w:rPr>
          <w:b/>
          <w:bCs/>
          <w:sz w:val="24"/>
        </w:rPr>
        <w:t>w Kielcach.</w:t>
      </w:r>
    </w:p>
    <w:p w14:paraId="6ED26ACC" w14:textId="77777777" w:rsidR="00C03DA4" w:rsidRDefault="00C03DA4" w:rsidP="00A40025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b/>
          <w:bCs/>
          <w:sz w:val="24"/>
        </w:rPr>
      </w:pPr>
    </w:p>
    <w:p w14:paraId="195813DD" w14:textId="77777777" w:rsidR="00E03BB8" w:rsidRPr="0052721B" w:rsidRDefault="00E03BB8" w:rsidP="00E03BB8">
      <w:pPr>
        <w:jc w:val="both"/>
        <w:rPr>
          <w:rFonts w:cs="Times New Roman"/>
        </w:rPr>
      </w:pPr>
      <w:r w:rsidRPr="00B52DC2">
        <w:t xml:space="preserve">Na podstawie upoważnienia Nr </w:t>
      </w:r>
      <w:r>
        <w:t>15</w:t>
      </w:r>
      <w:r w:rsidRPr="00B52DC2">
        <w:t>/2021 wydanego przez Prezydenta Miasta Kielce pracownicy Biura Audytu Wewnętrznego i Kontroli w Kancelarii Prezydenta Urzędu Miasta Kielce</w:t>
      </w:r>
      <w:r>
        <w:t xml:space="preserve"> </w:t>
      </w:r>
      <w:r w:rsidRPr="00B52DC2">
        <w:t>przeprowadzili</w:t>
      </w:r>
      <w:r>
        <w:br/>
      </w:r>
      <w:r w:rsidRPr="00B52DC2">
        <w:t xml:space="preserve">w dniach </w:t>
      </w:r>
      <w:r w:rsidRPr="00C6061A">
        <w:rPr>
          <w:rFonts w:cs="Times New Roman"/>
        </w:rPr>
        <w:t xml:space="preserve">od </w:t>
      </w:r>
      <w:r>
        <w:rPr>
          <w:rFonts w:cs="Times New Roman"/>
        </w:rPr>
        <w:t>2 sierpnia 2021</w:t>
      </w:r>
      <w:r w:rsidRPr="00C6061A">
        <w:rPr>
          <w:rFonts w:cs="Times New Roman"/>
        </w:rPr>
        <w:t xml:space="preserve"> r. do </w:t>
      </w:r>
      <w:r>
        <w:rPr>
          <w:rFonts w:cs="Times New Roman"/>
        </w:rPr>
        <w:t>25</w:t>
      </w:r>
      <w:r w:rsidRPr="0023442C">
        <w:rPr>
          <w:rFonts w:cs="Times New Roman"/>
          <w:color w:val="FF0000"/>
        </w:rPr>
        <w:t xml:space="preserve"> </w:t>
      </w:r>
      <w:r w:rsidRPr="00E259CD">
        <w:rPr>
          <w:rFonts w:cs="Times New Roman"/>
        </w:rPr>
        <w:t>sierpnia 2021 r.</w:t>
      </w:r>
      <w:r>
        <w:rPr>
          <w:rFonts w:cs="Times New Roman"/>
        </w:rPr>
        <w:t xml:space="preserve">, </w:t>
      </w:r>
      <w:r w:rsidRPr="00E259CD">
        <w:rPr>
          <w:rFonts w:cs="Times New Roman"/>
        </w:rPr>
        <w:t>z wyłączeniem 09.08.2021 r.,</w:t>
      </w:r>
      <w:r>
        <w:rPr>
          <w:rFonts w:cs="Times New Roman"/>
        </w:rPr>
        <w:t xml:space="preserve"> dni od</w:t>
      </w:r>
      <w:r>
        <w:rPr>
          <w:rFonts w:cs="Times New Roman"/>
        </w:rPr>
        <w:br/>
      </w:r>
      <w:r w:rsidRPr="00E259CD">
        <w:rPr>
          <w:rFonts w:cs="Times New Roman"/>
        </w:rPr>
        <w:t>17</w:t>
      </w:r>
      <w:r>
        <w:rPr>
          <w:rFonts w:cs="Times New Roman"/>
        </w:rPr>
        <w:t xml:space="preserve">.08.2021 r. do 20.08.2021 r. oraz </w:t>
      </w:r>
      <w:r w:rsidRPr="00E259CD">
        <w:rPr>
          <w:rFonts w:cs="Times New Roman"/>
        </w:rPr>
        <w:t>24.08.2021 r.</w:t>
      </w:r>
      <w:r w:rsidRPr="00B52DC2">
        <w:rPr>
          <w:color w:val="000000" w:themeColor="text1"/>
        </w:rPr>
        <w:t xml:space="preserve">, </w:t>
      </w:r>
      <w:r w:rsidRPr="00B52DC2">
        <w:t xml:space="preserve">kontrolę problemową </w:t>
      </w:r>
      <w:r w:rsidRPr="00C6061A">
        <w:rPr>
          <w:rFonts w:cs="Times New Roman"/>
        </w:rPr>
        <w:t>za okres od dnia 01 stycznia 20</w:t>
      </w:r>
      <w:r>
        <w:rPr>
          <w:rFonts w:cs="Times New Roman"/>
        </w:rPr>
        <w:t>20</w:t>
      </w:r>
      <w:r w:rsidRPr="00C6061A">
        <w:rPr>
          <w:rFonts w:cs="Times New Roman"/>
        </w:rPr>
        <w:t xml:space="preserve"> r. do dnia 31 grudnia 20</w:t>
      </w:r>
      <w:r>
        <w:rPr>
          <w:rFonts w:cs="Times New Roman"/>
        </w:rPr>
        <w:t>20</w:t>
      </w:r>
      <w:r w:rsidRPr="00C6061A">
        <w:rPr>
          <w:rFonts w:cs="Times New Roman"/>
        </w:rPr>
        <w:t xml:space="preserve"> r. w zakresie prawidłowości prowadzenia gospodarki pieniężnej, rozrachunków, </w:t>
      </w:r>
      <w:r>
        <w:rPr>
          <w:rFonts w:cs="Times New Roman"/>
        </w:rPr>
        <w:t xml:space="preserve">gospodarki środkami trwałymi i wyposażeniem, </w:t>
      </w:r>
      <w:r w:rsidRPr="00C6061A">
        <w:rPr>
          <w:rFonts w:cs="Times New Roman"/>
        </w:rPr>
        <w:t xml:space="preserve">przychodów i kosztów oraz przestrzegania przepisów ustawy – </w:t>
      </w:r>
      <w:r>
        <w:rPr>
          <w:rFonts w:cs="Times New Roman"/>
        </w:rPr>
        <w:t>P</w:t>
      </w:r>
      <w:r w:rsidRPr="00C6061A">
        <w:rPr>
          <w:rFonts w:cs="Times New Roman"/>
        </w:rPr>
        <w:t>rawo zamówień publicznych.</w:t>
      </w:r>
    </w:p>
    <w:p w14:paraId="62FED395" w14:textId="77777777" w:rsidR="00E03BB8" w:rsidRPr="00B52DC2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52DC2">
        <w:rPr>
          <w:rFonts w:asciiTheme="minorHAnsi" w:hAnsiTheme="minorHAnsi"/>
          <w:sz w:val="22"/>
          <w:szCs w:val="22"/>
        </w:rPr>
        <w:t>W wyniku kontroli stwierdzono niżej opisane nieprawidłowości i uchybienia, które powstały wskutek nieprzestrzegania obowiązujących przepisów prawa przez osoby odpowiedzialne:</w:t>
      </w:r>
    </w:p>
    <w:p w14:paraId="6507F436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7D30A9D5" w14:textId="77777777" w:rsidR="00E03BB8" w:rsidRPr="006D7CBF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6D7CBF">
        <w:rPr>
          <w:rFonts w:asciiTheme="minorHAnsi" w:hAnsiTheme="minorHAnsi"/>
          <w:sz w:val="22"/>
          <w:szCs w:val="22"/>
        </w:rPr>
        <w:t>W trakcie kontroli stwierdzono brak zgodności ze stanem faktycznym  instrukcji obiegu dokumentów w tabeli kadry i płace pkt 16 stanowiącym załącznik do niniejszej instrukcji; regulaminu organizacyjnego w zakresie funkcjonujących komórek organizacyjny</w:t>
      </w:r>
      <w:r>
        <w:rPr>
          <w:rFonts w:asciiTheme="minorHAnsi" w:hAnsiTheme="minorHAnsi"/>
          <w:sz w:val="22"/>
          <w:szCs w:val="22"/>
        </w:rPr>
        <w:t>ch</w:t>
      </w:r>
      <w:r w:rsidRPr="006D7CBF">
        <w:rPr>
          <w:rFonts w:asciiTheme="minorHAnsi" w:hAnsiTheme="minorHAnsi"/>
          <w:sz w:val="22"/>
          <w:szCs w:val="22"/>
        </w:rPr>
        <w:t>, stanowisk pracy,  a co za tym idzie schematu organizacyjnego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6D7CBF">
        <w:rPr>
          <w:rFonts w:asciiTheme="minorHAnsi" w:hAnsiTheme="minorHAnsi"/>
          <w:sz w:val="22"/>
          <w:szCs w:val="22"/>
        </w:rPr>
        <w:t xml:space="preserve">z uwzględnieniem podanej ilości pracowników </w:t>
      </w:r>
      <w:r>
        <w:rPr>
          <w:rFonts w:asciiTheme="minorHAnsi" w:hAnsiTheme="minorHAnsi"/>
          <w:sz w:val="22"/>
          <w:szCs w:val="22"/>
        </w:rPr>
        <w:t>oraz z</w:t>
      </w:r>
      <w:r w:rsidRPr="006D7CBF">
        <w:rPr>
          <w:rFonts w:asciiTheme="minorHAnsi" w:hAnsiTheme="minorHAnsi"/>
          <w:sz w:val="22"/>
          <w:szCs w:val="22"/>
        </w:rPr>
        <w:t>apisów odnośnie rejestrów zamówień publicznych. Ponadto należy doprecyzować zapisy Regulaminu wynagradzania dotyczące paragrafu 9 w zakresie definicji wynagrodzenia zasadniczego brutto, dodatku specjalnego, ponieważ w trakcie kontroli ustalono, że z tytułu zwiększonego zakresu pracy pracownicy mieli zwiększone wynagrodzenie zasadnicze, a powinni mieć przyznany dodatek specjalny na czas wykonywania ok</w:t>
      </w:r>
      <w:r>
        <w:rPr>
          <w:rFonts w:asciiTheme="minorHAnsi" w:hAnsiTheme="minorHAnsi"/>
          <w:sz w:val="22"/>
          <w:szCs w:val="22"/>
        </w:rPr>
        <w:t>reślonych (zleconych) czynności</w:t>
      </w:r>
      <w:r w:rsidRPr="006D7CBF">
        <w:rPr>
          <w:rFonts w:asciiTheme="minorHAnsi" w:hAnsiTheme="minorHAnsi"/>
          <w:sz w:val="22"/>
          <w:szCs w:val="22"/>
        </w:rPr>
        <w:t>; paragrafu 13 w zakresie po</w:t>
      </w:r>
      <w:r>
        <w:rPr>
          <w:rFonts w:asciiTheme="minorHAnsi" w:hAnsiTheme="minorHAnsi"/>
          <w:sz w:val="22"/>
          <w:szCs w:val="22"/>
        </w:rPr>
        <w:t xml:space="preserve">traceń od wynagrodzeń w związku </w:t>
      </w:r>
      <w:r w:rsidRPr="006D7CBF">
        <w:rPr>
          <w:rFonts w:asciiTheme="minorHAnsi" w:hAnsiTheme="minorHAnsi"/>
          <w:sz w:val="22"/>
          <w:szCs w:val="22"/>
        </w:rPr>
        <w:t>z  paragrafem 17 należałoby dodać zapisy odnośnie zasiłków chorobowych oraz określić, co powinno wchodzić do ich podstawy. W przypadku zasad (polityki) rachunkowości należałoby wprowadzić tekst jednolity tego dokumentu z uwzględnieniem wszystkich elementów wynikających z art. 10. ust.1 ustawy o rachunkowości.</w:t>
      </w:r>
    </w:p>
    <w:p w14:paraId="4EF05800" w14:textId="77777777" w:rsidR="00E03BB8" w:rsidRPr="006D7CBF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>Wniosek pokontrolny nr 1</w:t>
      </w:r>
    </w:p>
    <w:p w14:paraId="756CC925" w14:textId="77777777" w:rsidR="00E03BB8" w:rsidRPr="000A1961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A1961">
        <w:rPr>
          <w:rFonts w:asciiTheme="minorHAnsi" w:hAnsiTheme="minorHAnsi"/>
          <w:sz w:val="22"/>
          <w:szCs w:val="22"/>
        </w:rPr>
        <w:t xml:space="preserve">Opracować nowe </w:t>
      </w:r>
      <w:r>
        <w:rPr>
          <w:rFonts w:asciiTheme="minorHAnsi" w:hAnsiTheme="minorHAnsi"/>
          <w:sz w:val="22"/>
          <w:szCs w:val="22"/>
        </w:rPr>
        <w:t xml:space="preserve">zasady (politykę) rachunkowości oraz </w:t>
      </w:r>
      <w:r w:rsidRPr="000A1961">
        <w:rPr>
          <w:rFonts w:asciiTheme="minorHAnsi" w:hAnsiTheme="minorHAnsi"/>
          <w:sz w:val="22"/>
          <w:szCs w:val="22"/>
        </w:rPr>
        <w:t>uaktualnić zapisy instrukcji obiegu dokumentów, regulaminu organizacyjnego, regulaminu wynagradzania.</w:t>
      </w:r>
    </w:p>
    <w:p w14:paraId="696D85C7" w14:textId="77777777" w:rsidR="00E03BB8" w:rsidRPr="006D7CBF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29B20E84" w14:textId="77777777" w:rsidR="00E03BB8" w:rsidRDefault="00E03BB8" w:rsidP="00E03BB8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6D7CBF">
        <w:rPr>
          <w:rFonts w:asciiTheme="minorHAnsi" w:hAnsiTheme="minorHAnsi"/>
          <w:sz w:val="22"/>
          <w:szCs w:val="22"/>
        </w:rPr>
        <w:t xml:space="preserve">a dzień 31.12.2020 rok </w:t>
      </w:r>
      <w:r>
        <w:rPr>
          <w:rFonts w:asciiTheme="minorHAnsi" w:hAnsiTheme="minorHAnsi"/>
          <w:sz w:val="22"/>
          <w:szCs w:val="22"/>
        </w:rPr>
        <w:t>s</w:t>
      </w:r>
      <w:r w:rsidRPr="006D7CBF">
        <w:rPr>
          <w:rFonts w:asciiTheme="minorHAnsi" w:hAnsiTheme="minorHAnsi"/>
          <w:sz w:val="22"/>
          <w:szCs w:val="22"/>
        </w:rPr>
        <w:t>twierdzono różnicę w wysokości 7,32 zł, pomiędzy saldem Ma konta 859,</w:t>
      </w:r>
      <w:r>
        <w:rPr>
          <w:rFonts w:asciiTheme="minorHAnsi" w:hAnsiTheme="minorHAnsi"/>
          <w:sz w:val="22"/>
          <w:szCs w:val="22"/>
        </w:rPr>
        <w:br/>
      </w:r>
      <w:r w:rsidRPr="006D7CBF">
        <w:rPr>
          <w:rFonts w:asciiTheme="minorHAnsi" w:hAnsiTheme="minorHAnsi"/>
          <w:sz w:val="22"/>
          <w:szCs w:val="22"/>
        </w:rPr>
        <w:t xml:space="preserve">a saldem </w:t>
      </w:r>
      <w:proofErr w:type="spellStart"/>
      <w:r w:rsidRPr="006D7CBF">
        <w:rPr>
          <w:rFonts w:asciiTheme="minorHAnsi" w:hAnsiTheme="minorHAnsi"/>
          <w:sz w:val="22"/>
          <w:szCs w:val="22"/>
        </w:rPr>
        <w:t>Wn</w:t>
      </w:r>
      <w:proofErr w:type="spellEnd"/>
      <w:r w:rsidRPr="006D7CBF">
        <w:rPr>
          <w:rFonts w:asciiTheme="minorHAnsi" w:hAnsiTheme="minorHAnsi"/>
          <w:sz w:val="22"/>
          <w:szCs w:val="22"/>
        </w:rPr>
        <w:t xml:space="preserve"> konta 134 Rachunek Bankowy ZFŚS. </w:t>
      </w:r>
      <w:r>
        <w:rPr>
          <w:rFonts w:asciiTheme="minorHAnsi" w:hAnsiTheme="minorHAnsi"/>
          <w:sz w:val="22"/>
          <w:szCs w:val="22"/>
        </w:rPr>
        <w:t>S</w:t>
      </w:r>
      <w:r w:rsidRPr="006D7CBF">
        <w:rPr>
          <w:rFonts w:asciiTheme="minorHAnsi" w:hAnsiTheme="minorHAnsi"/>
          <w:sz w:val="22"/>
          <w:szCs w:val="22"/>
        </w:rPr>
        <w:t xml:space="preserve">aldo Ma konta 859  powinno odpowiadać sumie sald </w:t>
      </w:r>
      <w:proofErr w:type="spellStart"/>
      <w:r w:rsidRPr="006D7CBF">
        <w:rPr>
          <w:rFonts w:asciiTheme="minorHAnsi" w:hAnsiTheme="minorHAnsi"/>
          <w:sz w:val="22"/>
          <w:szCs w:val="22"/>
        </w:rPr>
        <w:t>Wn</w:t>
      </w:r>
      <w:proofErr w:type="spellEnd"/>
      <w:r w:rsidRPr="006D7CBF">
        <w:rPr>
          <w:rFonts w:asciiTheme="minorHAnsi" w:hAnsiTheme="minorHAnsi"/>
          <w:sz w:val="22"/>
          <w:szCs w:val="22"/>
        </w:rPr>
        <w:t xml:space="preserve"> kont 134 oraz 234 Inne rozrachunki z pracownikami lub 249 Pozostałe </w:t>
      </w:r>
      <w:r w:rsidRPr="00744607">
        <w:rPr>
          <w:rFonts w:asciiTheme="minorHAnsi" w:hAnsiTheme="minorHAnsi"/>
          <w:sz w:val="22"/>
          <w:szCs w:val="22"/>
        </w:rPr>
        <w:t xml:space="preserve">rozrachunki </w:t>
      </w:r>
      <w:r>
        <w:rPr>
          <w:rStyle w:val="Pogrubienie"/>
          <w:rFonts w:asciiTheme="minorHAnsi" w:hAnsiTheme="minorHAnsi"/>
          <w:sz w:val="22"/>
          <w:szCs w:val="22"/>
        </w:rPr>
        <w:br/>
      </w:r>
      <w:r w:rsidRPr="00744607">
        <w:rPr>
          <w:rStyle w:val="Pogrubienie"/>
          <w:rFonts w:asciiTheme="minorHAnsi" w:hAnsiTheme="minorHAnsi"/>
          <w:b w:val="0"/>
          <w:sz w:val="22"/>
          <w:szCs w:val="22"/>
        </w:rPr>
        <w:t>(</w:t>
      </w:r>
      <w:r w:rsidRPr="00744607">
        <w:rPr>
          <w:rFonts w:asciiTheme="minorHAnsi" w:hAnsiTheme="minorHAnsi"/>
          <w:sz w:val="22"/>
          <w:szCs w:val="22"/>
        </w:rPr>
        <w:t>w</w:t>
      </w:r>
      <w:r w:rsidRPr="006D7CBF">
        <w:rPr>
          <w:rFonts w:asciiTheme="minorHAnsi" w:hAnsiTheme="minorHAnsi"/>
          <w:sz w:val="22"/>
          <w:szCs w:val="22"/>
        </w:rPr>
        <w:t xml:space="preserve"> przypadku byłych pracowników) z uwzględnieniem nie przekazanych świadczeń lub zobowiązań od tych świadczeń wykazanych np. na koncie 223 Rozrachunki z tytułu podatków dochodowych.</w:t>
      </w:r>
    </w:p>
    <w:p w14:paraId="2EE3B505" w14:textId="77777777" w:rsidR="00E03BB8" w:rsidRPr="006D7CBF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70A45D33" w14:textId="77777777" w:rsidR="00E03BB8" w:rsidRPr="00BF67FB" w:rsidRDefault="00E03BB8" w:rsidP="00E03BB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F67FB">
        <w:rPr>
          <w:rFonts w:asciiTheme="minorHAnsi" w:hAnsiTheme="minorHAnsi"/>
          <w:sz w:val="22"/>
          <w:szCs w:val="22"/>
        </w:rPr>
        <w:t>W dalszej działalności jednostki zadbać o to, aby saldo konta 859 odpowiadało sumie sald kont 134 oraz 234 lub 249</w:t>
      </w:r>
      <w:r>
        <w:rPr>
          <w:rFonts w:asciiTheme="minorHAnsi" w:hAnsiTheme="minorHAnsi"/>
          <w:sz w:val="22"/>
          <w:szCs w:val="22"/>
        </w:rPr>
        <w:t>.</w:t>
      </w:r>
    </w:p>
    <w:p w14:paraId="6C986C4E" w14:textId="77777777" w:rsidR="00E03BB8" w:rsidRPr="006D7CBF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14:paraId="2E7FD310" w14:textId="77777777" w:rsidR="00E03BB8" w:rsidRDefault="00E03BB8" w:rsidP="00E03BB8">
      <w:pPr>
        <w:spacing w:after="0" w:line="240" w:lineRule="auto"/>
        <w:jc w:val="both"/>
      </w:pPr>
      <w:r w:rsidRPr="006D7CBF">
        <w:t xml:space="preserve">Kontroli poddano deklarację CIT – 8 za rok podatkowy od 01.01.2020 do 31.12.2020 r. oraz dokonane w trakcie roku zapisy na koncie 223-002 przy czym stwierdzono, że pozostałe na </w:t>
      </w:r>
      <w:r>
        <w:t>koniec roku s</w:t>
      </w:r>
      <w:r w:rsidRPr="006D7CBF">
        <w:t xml:space="preserve">aldo </w:t>
      </w:r>
      <w:proofErr w:type="spellStart"/>
      <w:r w:rsidRPr="006D7CBF">
        <w:t>Wn</w:t>
      </w:r>
      <w:proofErr w:type="spellEnd"/>
      <w:r w:rsidRPr="006D7CBF">
        <w:t xml:space="preserve"> na koncie 223-002 w wysokości 256.540,00 zł nie odpowiada kwocie nadpłaty wykazanej</w:t>
      </w:r>
      <w:r>
        <w:br/>
      </w:r>
      <w:r w:rsidRPr="006D7CBF">
        <w:t>w deklaracji CIT -8 za 2020 r. w wysokości 232.137,00 zł. Powstała różnica w wysokości 27.737,00 zł dotyczy  nadpłat z lat poprzednich.</w:t>
      </w:r>
    </w:p>
    <w:p w14:paraId="78D0E7D9" w14:textId="77777777" w:rsidR="00E03BB8" w:rsidRDefault="00E03BB8" w:rsidP="00E03BB8">
      <w:pPr>
        <w:spacing w:after="0" w:line="240" w:lineRule="auto"/>
        <w:jc w:val="both"/>
      </w:pPr>
      <w:r>
        <w:t>W</w:t>
      </w:r>
      <w:r w:rsidRPr="006D7CBF">
        <w:t xml:space="preserve"> rozliczenia</w:t>
      </w:r>
      <w:r>
        <w:t>ch</w:t>
      </w:r>
      <w:r w:rsidRPr="006D7CBF">
        <w:t xml:space="preserve"> z tytułu podatku VAT za okres od czerwca do grudnia 2020 roku, stwierdzono, że na koncie 222-001 w miesiącu lipcu 2020 r. brak odpowiednich księgowań</w:t>
      </w:r>
      <w:r>
        <w:t xml:space="preserve"> </w:t>
      </w:r>
      <w:r w:rsidRPr="006D7CBF">
        <w:t xml:space="preserve">w zakresie naliczenia podatku. Zapisy z miesiąca lipca 2020 r. zostały zaewidencjonowane na ww. koncie w miesiącu </w:t>
      </w:r>
      <w:r w:rsidRPr="006D7CBF">
        <w:lastRenderedPageBreak/>
        <w:t>sierpniu 2020 roku. Ponadto stwierdzono w tym okresie różnice pomiędzy miesięcznymi saldami rozrachunków z tytułu VAT na koncie 222-001,</w:t>
      </w:r>
      <w:r>
        <w:t xml:space="preserve"> </w:t>
      </w:r>
      <w:r w:rsidRPr="006D7CBF">
        <w:t>a płatnościami. W trakcie 2020 roku nie były one odpowiednio wyjaśnione</w:t>
      </w:r>
      <w:r>
        <w:t xml:space="preserve"> </w:t>
      </w:r>
      <w:r w:rsidRPr="006D7CBF">
        <w:t xml:space="preserve">i zaewidencjonowane. </w:t>
      </w:r>
    </w:p>
    <w:p w14:paraId="015B6446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2A228F66" w14:textId="77777777" w:rsidR="00E03BB8" w:rsidRDefault="00E03BB8" w:rsidP="00E03BB8">
      <w:pPr>
        <w:spacing w:after="0" w:line="240" w:lineRule="auto"/>
        <w:jc w:val="both"/>
        <w:rPr>
          <w:i/>
        </w:rPr>
      </w:pPr>
      <w:r>
        <w:rPr>
          <w:i/>
        </w:rPr>
        <w:t>W dalszej działalności jednostki e</w:t>
      </w:r>
      <w:r w:rsidRPr="000B254B">
        <w:rPr>
          <w:i/>
        </w:rPr>
        <w:t xml:space="preserve">widencję księgową na koncie </w:t>
      </w:r>
      <w:r>
        <w:rPr>
          <w:i/>
        </w:rPr>
        <w:t xml:space="preserve">222-001, </w:t>
      </w:r>
      <w:r w:rsidRPr="000B254B">
        <w:rPr>
          <w:i/>
        </w:rPr>
        <w:t>22</w:t>
      </w:r>
      <w:r>
        <w:rPr>
          <w:i/>
        </w:rPr>
        <w:t xml:space="preserve">3-002 </w:t>
      </w:r>
      <w:r w:rsidRPr="000B254B">
        <w:rPr>
          <w:i/>
        </w:rPr>
        <w:t>prowadzić na podstawie dokumentów źródłowych</w:t>
      </w:r>
      <w:r>
        <w:rPr>
          <w:i/>
        </w:rPr>
        <w:t xml:space="preserve"> oraz wszystkie różnice wyjaśniać na bieżąco.</w:t>
      </w:r>
      <w:r w:rsidRPr="000B254B">
        <w:rPr>
          <w:i/>
        </w:rPr>
        <w:t xml:space="preserve"> </w:t>
      </w:r>
    </w:p>
    <w:p w14:paraId="0AE3F7DA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66A82339" w14:textId="77777777" w:rsidR="00E03BB8" w:rsidRDefault="00E03BB8" w:rsidP="00E03BB8">
      <w:pPr>
        <w:spacing w:after="0" w:line="240" w:lineRule="auto"/>
        <w:jc w:val="both"/>
        <w:rPr>
          <w:i/>
        </w:rPr>
      </w:pPr>
      <w:r>
        <w:rPr>
          <w:i/>
        </w:rPr>
        <w:t>Dokonywać wyrywkowej kontroli stanu należności/zobowiązań na koniec okresu sprawozdawczego.</w:t>
      </w:r>
    </w:p>
    <w:p w14:paraId="5B5C2CAA" w14:textId="77777777" w:rsidR="00E03BB8" w:rsidRDefault="00E03BB8" w:rsidP="00E03BB8">
      <w:pPr>
        <w:spacing w:after="0" w:line="240" w:lineRule="auto"/>
        <w:jc w:val="both"/>
      </w:pPr>
    </w:p>
    <w:p w14:paraId="7A2A6DF1" w14:textId="77777777" w:rsidR="00E03BB8" w:rsidRDefault="00E03BB8" w:rsidP="00E03BB8">
      <w:pPr>
        <w:spacing w:after="0" w:line="240" w:lineRule="auto"/>
        <w:jc w:val="both"/>
      </w:pPr>
      <w:r>
        <w:t>W</w:t>
      </w:r>
      <w:r w:rsidRPr="006D7CBF">
        <w:t xml:space="preserve"> miesiącu październiku i listopadzie 2020 r. </w:t>
      </w:r>
      <w:r>
        <w:t xml:space="preserve">stwierdzono </w:t>
      </w:r>
      <w:r w:rsidRPr="006D7CBF">
        <w:t>różnice pomiędzy deklaracją PIT 4R,</w:t>
      </w:r>
      <w:r w:rsidRPr="006D7CBF">
        <w:br/>
        <w:t>a naliczeniem podatku oraz płatnością zaewidencjonowana na k</w:t>
      </w:r>
      <w:r>
        <w:t>oncie 223-001 II Urząd Skarbowy</w:t>
      </w:r>
      <w:r>
        <w:br/>
      </w:r>
      <w:r w:rsidRPr="006D7CBF">
        <w:t>PIT 4.</w:t>
      </w:r>
      <w:r>
        <w:t xml:space="preserve"> Ponadto w miesiącu </w:t>
      </w:r>
      <w:r w:rsidRPr="006D7CBF">
        <w:t xml:space="preserve">listopadzie i grudniu 2020 r. </w:t>
      </w:r>
      <w:r>
        <w:t xml:space="preserve">stwierdzono </w:t>
      </w:r>
      <w:r w:rsidRPr="006D7CBF">
        <w:t>różnice pomiędzy deklaracją DRA  01 11 2020, DRA 01 12 2020, a naliczeniem składek na ubezpieczenie społeczne, ubezpieczenie zdrowotne, składek na Fundusz Pracy oraz płatnością zaewidencjonowana na koncie 249-001 Rozrachunki</w:t>
      </w:r>
      <w:r>
        <w:t xml:space="preserve"> </w:t>
      </w:r>
      <w:r w:rsidRPr="006D7CBF">
        <w:t>z ZUS.</w:t>
      </w:r>
      <w:r w:rsidRPr="009554FE">
        <w:t xml:space="preserve"> </w:t>
      </w:r>
      <w:r w:rsidRPr="006D7CBF">
        <w:t>W trakcie czynności kontrolnych poproszono o przedstawienie informacji rocznej za 2020 r. dotyczącej rozliczenia konta płatnika składek KTBS Sp. z</w:t>
      </w:r>
      <w:r>
        <w:t xml:space="preserve"> </w:t>
      </w:r>
      <w:r w:rsidRPr="006D7CBF">
        <w:t>o.o., z której wynika nadpłata</w:t>
      </w:r>
      <w:r w:rsidRPr="006D7CBF">
        <w:br/>
        <w:t>w wysokości 5.125,25 zł. Kwota ta do dnia rozpoczęcia czynności kontrolnych nie została zaewidencjonowana na koncie 249-001, a co za tym idzie KTBS Sp. z o.o. nie skorzystało</w:t>
      </w:r>
      <w:r w:rsidRPr="006D7CBF">
        <w:br/>
        <w:t xml:space="preserve">z możliwości zaliczenia nadpłaty na poczet bieżących zobowiązań, czy możliwości złożenia wniosku o zwrot nadpłaty na rachunek bankowy płatnika składek. </w:t>
      </w:r>
    </w:p>
    <w:p w14:paraId="48C89DE0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5</w:t>
      </w:r>
    </w:p>
    <w:p w14:paraId="535D86CC" w14:textId="77777777" w:rsidR="00E03BB8" w:rsidRDefault="00E03BB8" w:rsidP="00E03BB8">
      <w:pPr>
        <w:spacing w:after="0" w:line="240" w:lineRule="auto"/>
        <w:jc w:val="both"/>
        <w:rPr>
          <w:i/>
        </w:rPr>
      </w:pPr>
      <w:r>
        <w:rPr>
          <w:i/>
        </w:rPr>
        <w:t>W dalszej działalności jednostki e</w:t>
      </w:r>
      <w:r w:rsidRPr="000B254B">
        <w:rPr>
          <w:i/>
        </w:rPr>
        <w:t xml:space="preserve">widencję księgową na koncie </w:t>
      </w:r>
      <w:r>
        <w:rPr>
          <w:i/>
        </w:rPr>
        <w:t xml:space="preserve"> </w:t>
      </w:r>
      <w:r w:rsidRPr="000B254B">
        <w:rPr>
          <w:i/>
        </w:rPr>
        <w:t>22</w:t>
      </w:r>
      <w:r>
        <w:rPr>
          <w:i/>
        </w:rPr>
        <w:t>3-001 ,249-001</w:t>
      </w:r>
      <w:r w:rsidRPr="000B254B">
        <w:rPr>
          <w:i/>
        </w:rPr>
        <w:t xml:space="preserve"> prowadzić na</w:t>
      </w:r>
      <w:r>
        <w:rPr>
          <w:i/>
        </w:rPr>
        <w:t xml:space="preserve"> podstawie dokumentów źródłowych. </w:t>
      </w:r>
    </w:p>
    <w:p w14:paraId="46091394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6</w:t>
      </w:r>
    </w:p>
    <w:p w14:paraId="6540FBF1" w14:textId="77777777" w:rsidR="00E03BB8" w:rsidRDefault="00E03BB8" w:rsidP="00E03BB8">
      <w:pPr>
        <w:spacing w:after="0" w:line="240" w:lineRule="auto"/>
        <w:jc w:val="both"/>
        <w:rPr>
          <w:i/>
        </w:rPr>
      </w:pPr>
      <w:r>
        <w:rPr>
          <w:i/>
        </w:rPr>
        <w:t>Dokonywać wyrywkowej kontroli stanu należności/zobowiązań na koniec okresu sprawozdawczego, a wszystkie różnice wyjaśniać na bieżąco.</w:t>
      </w:r>
      <w:r w:rsidRPr="000B254B">
        <w:rPr>
          <w:i/>
        </w:rPr>
        <w:t xml:space="preserve"> </w:t>
      </w:r>
      <w:r>
        <w:rPr>
          <w:i/>
        </w:rPr>
        <w:t xml:space="preserve"> </w:t>
      </w:r>
    </w:p>
    <w:p w14:paraId="090E2AF7" w14:textId="77777777" w:rsidR="00E03BB8" w:rsidRDefault="00E03BB8" w:rsidP="00E03BB8">
      <w:pPr>
        <w:spacing w:after="0" w:line="240" w:lineRule="auto"/>
        <w:jc w:val="both"/>
        <w:rPr>
          <w:i/>
        </w:rPr>
      </w:pPr>
      <w:r w:rsidRPr="006D7CBF">
        <w:rPr>
          <w:b/>
        </w:rPr>
        <w:t xml:space="preserve">Wniosek pokontrolny nr </w:t>
      </w:r>
      <w:r>
        <w:rPr>
          <w:b/>
        </w:rPr>
        <w:t>7</w:t>
      </w:r>
    </w:p>
    <w:p w14:paraId="7F92F41C" w14:textId="77777777" w:rsidR="00E03BB8" w:rsidRDefault="00E03BB8" w:rsidP="00E03BB8">
      <w:pPr>
        <w:spacing w:after="0" w:line="240" w:lineRule="auto"/>
        <w:jc w:val="both"/>
        <w:rPr>
          <w:i/>
        </w:rPr>
      </w:pPr>
      <w:r>
        <w:rPr>
          <w:i/>
        </w:rPr>
        <w:t xml:space="preserve">Niezwłocznie wyjaśnić powstałą na 31.12.2020 r. nadpłatę w ZUS. </w:t>
      </w:r>
    </w:p>
    <w:p w14:paraId="43ABC0B8" w14:textId="77777777" w:rsidR="00E03BB8" w:rsidRDefault="00E03BB8" w:rsidP="00E03BB8">
      <w:pPr>
        <w:spacing w:after="0" w:line="240" w:lineRule="auto"/>
        <w:jc w:val="both"/>
      </w:pPr>
    </w:p>
    <w:p w14:paraId="2F0D3813" w14:textId="77777777" w:rsidR="00E03BB8" w:rsidRDefault="00E03BB8" w:rsidP="00E03BB8">
      <w:pPr>
        <w:spacing w:after="0" w:line="240" w:lineRule="auto"/>
        <w:jc w:val="both"/>
      </w:pPr>
      <w:r w:rsidRPr="006D7CBF">
        <w:t>Jak wynika z zasad (polityki) prowadzenia rachunkowości jednostka nie tworzy zapasów materiałowych. Zakup materiałów na bieżące potrzeby księgowany jest bezpośrednio</w:t>
      </w:r>
      <w:r w:rsidRPr="006D7CBF">
        <w:br/>
        <w:t>w koszty działalności. W przypadku zakupu zapasowych części zamiennych do urządzeń kotłowni możliwe jest przejściowe wykazanie z</w:t>
      </w:r>
      <w:r>
        <w:t xml:space="preserve">apasu na koncie 311 „Materiały” </w:t>
      </w:r>
      <w:r w:rsidRPr="006D7CBF">
        <w:t>w magazynie i jego aktualizacja na koncie 341 „Odchylenia od cen ewidencyjnych”.</w:t>
      </w:r>
      <w:r>
        <w:t xml:space="preserve"> </w:t>
      </w:r>
      <w:r w:rsidRPr="006D7CBF">
        <w:t>W związku z powyższym poproszono głównego księgo</w:t>
      </w:r>
      <w:r>
        <w:t xml:space="preserve">wego o wyjaśnienie kwot ujętych </w:t>
      </w:r>
      <w:r w:rsidRPr="006D7CBF">
        <w:t>w bilansie za 2020 r.  na kontach 311 i 341,</w:t>
      </w:r>
      <w:r>
        <w:br/>
      </w:r>
      <w:r w:rsidRPr="006D7CBF">
        <w:t xml:space="preserve">z których wynika, że na tych kontach co najmniej od 2014 </w:t>
      </w:r>
      <w:r>
        <w:t>roku widnieje saldo w wysokości</w:t>
      </w:r>
      <w:r>
        <w:br/>
      </w:r>
      <w:r w:rsidRPr="006D7CBF">
        <w:t xml:space="preserve">4.620,59 zł. </w:t>
      </w:r>
    </w:p>
    <w:p w14:paraId="292CF397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8</w:t>
      </w:r>
    </w:p>
    <w:p w14:paraId="3C89B4A8" w14:textId="77777777" w:rsidR="00E03BB8" w:rsidRDefault="00E03BB8" w:rsidP="00E03BB8">
      <w:pPr>
        <w:spacing w:after="0" w:line="240" w:lineRule="auto"/>
        <w:jc w:val="both"/>
      </w:pPr>
      <w:r>
        <w:t xml:space="preserve">Należy </w:t>
      </w:r>
      <w:r w:rsidRPr="006D7CBF">
        <w:t xml:space="preserve">podjąć czynności zmierzające do </w:t>
      </w:r>
      <w:r>
        <w:t xml:space="preserve">ustalenia </w:t>
      </w:r>
      <w:r w:rsidRPr="006D7CBF">
        <w:t>stanu rzeczywistego sald ujętych na kontach 311</w:t>
      </w:r>
      <w:r>
        <w:br/>
      </w:r>
      <w:r w:rsidRPr="006D7CBF">
        <w:t>i 341 oraz dokonać stosownych przeksięgowań</w:t>
      </w:r>
      <w:r>
        <w:t>.</w:t>
      </w:r>
    </w:p>
    <w:p w14:paraId="09E471D8" w14:textId="77777777" w:rsidR="00E03BB8" w:rsidRDefault="00E03BB8" w:rsidP="00E03BB8">
      <w:pPr>
        <w:spacing w:after="0" w:line="240" w:lineRule="auto"/>
        <w:jc w:val="both"/>
      </w:pPr>
    </w:p>
    <w:p w14:paraId="1BF012A9" w14:textId="77777777" w:rsidR="00E03BB8" w:rsidRPr="003E1106" w:rsidRDefault="00E03BB8" w:rsidP="00E03BB8">
      <w:pPr>
        <w:spacing w:after="0" w:line="240" w:lineRule="auto"/>
        <w:jc w:val="both"/>
      </w:pPr>
      <w:r w:rsidRPr="006D7CBF">
        <w:t xml:space="preserve">W zakresie </w:t>
      </w:r>
      <w:r>
        <w:t xml:space="preserve">inwentaryzacji </w:t>
      </w:r>
      <w:r w:rsidRPr="006D7CBF">
        <w:t>stwierdzono brak potwierdzenia sald dla rachunk</w:t>
      </w:r>
      <w:r>
        <w:t>ów</w:t>
      </w:r>
      <w:r w:rsidRPr="006D7CBF">
        <w:t xml:space="preserve"> bankowych prowadzonych w Banku PKO BP S.A. zgodnie z zgodnie z art. 26 ust. 1 pkt 2 ustawy o rachun</w:t>
      </w:r>
      <w:r>
        <w:t xml:space="preserve">kowości. Saldo zostało ustalone </w:t>
      </w:r>
      <w:r w:rsidRPr="006D7CBF">
        <w:t>w oparciu o wyciągi bankowe nr 12/2020 z dnia 31.12.2020 r. oraz</w:t>
      </w:r>
      <w:r>
        <w:t xml:space="preserve"> nr 1/2021</w:t>
      </w:r>
      <w:r>
        <w:br/>
        <w:t xml:space="preserve">z dnia 04.01.2021 r. Ponadto </w:t>
      </w:r>
      <w:r w:rsidRPr="006D7CBF">
        <w:t>brak dokumentów potwierdzających fakt dokonania weryfikacji stanu składników aktywów, czy pasywów nie objętych spisem z natury czy metodą potwierdzenia sald,  a co za tym idzie brak informacji o różnicac</w:t>
      </w:r>
      <w:r>
        <w:t xml:space="preserve">h pomiędzy stanem rzeczywistym, </w:t>
      </w:r>
      <w:r w:rsidRPr="006D7CBF">
        <w:t>a stanem wykazanym</w:t>
      </w:r>
      <w:r>
        <w:br/>
      </w:r>
      <w:r w:rsidRPr="006D7CBF">
        <w:t xml:space="preserve">w księgach  rachunkowych na dzień 31.12.2020 r. dotyczący m.in. sald  kont </w:t>
      </w:r>
      <w:r w:rsidRPr="000B254B">
        <w:rPr>
          <w:i/>
        </w:rPr>
        <w:t>22</w:t>
      </w:r>
      <w:r>
        <w:rPr>
          <w:i/>
        </w:rPr>
        <w:t>3-002,222-001,</w:t>
      </w:r>
      <w:r>
        <w:rPr>
          <w:i/>
        </w:rPr>
        <w:br/>
      </w:r>
      <w:r w:rsidRPr="000B254B">
        <w:rPr>
          <w:i/>
        </w:rPr>
        <w:t>22</w:t>
      </w:r>
      <w:r>
        <w:rPr>
          <w:i/>
        </w:rPr>
        <w:t>3-001,249-001.</w:t>
      </w:r>
    </w:p>
    <w:p w14:paraId="640890CB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37A7ACD0" w14:textId="77777777" w:rsidR="00E03BB8" w:rsidRPr="006D7CBF" w:rsidRDefault="00E03BB8" w:rsidP="00E03BB8">
      <w:pPr>
        <w:jc w:val="both"/>
      </w:pPr>
      <w:r w:rsidRPr="003E1106">
        <w:t>W dalszej działalności jednostki inwentaryzację przeprowadzać zgodnie z</w:t>
      </w:r>
      <w:r>
        <w:rPr>
          <w:b/>
        </w:rPr>
        <w:t xml:space="preserve"> </w:t>
      </w:r>
      <w:r w:rsidRPr="006D7CBF">
        <w:t xml:space="preserve">art. 26 </w:t>
      </w:r>
      <w:r>
        <w:t xml:space="preserve"> </w:t>
      </w:r>
      <w:r w:rsidRPr="006D7CBF">
        <w:t xml:space="preserve">w związku z art. 27 ust. 1 i 2 </w:t>
      </w:r>
      <w:r>
        <w:t xml:space="preserve"> ustawy  o rachunkowości z dnia </w:t>
      </w:r>
      <w:r w:rsidRPr="006D7CBF">
        <w:t xml:space="preserve">29 września 1994 r.  ( </w:t>
      </w:r>
      <w:proofErr w:type="spellStart"/>
      <w:r w:rsidRPr="006D7CBF">
        <w:rPr>
          <w:bCs/>
        </w:rPr>
        <w:t>t.j</w:t>
      </w:r>
      <w:proofErr w:type="spellEnd"/>
      <w:r w:rsidRPr="006D7CBF">
        <w:rPr>
          <w:bCs/>
        </w:rPr>
        <w:t>. Dz. U. z 2021 r. poz. 217)</w:t>
      </w:r>
      <w:r w:rsidRPr="006D7CBF">
        <w:t>.</w:t>
      </w:r>
    </w:p>
    <w:p w14:paraId="369D8513" w14:textId="77777777" w:rsidR="00E03BB8" w:rsidRDefault="00E03BB8" w:rsidP="00E03BB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6D7CBF">
        <w:rPr>
          <w:rFonts w:asciiTheme="minorHAnsi" w:hAnsiTheme="minorHAnsi"/>
          <w:sz w:val="22"/>
          <w:szCs w:val="22"/>
        </w:rPr>
        <w:lastRenderedPageBreak/>
        <w:t xml:space="preserve">W przypadku dokonywania ręcznej dekretacji </w:t>
      </w:r>
      <w:r>
        <w:rPr>
          <w:rFonts w:asciiTheme="minorHAnsi" w:hAnsiTheme="minorHAnsi"/>
          <w:sz w:val="22"/>
          <w:szCs w:val="22"/>
        </w:rPr>
        <w:t xml:space="preserve">dowodów księgowych </w:t>
      </w:r>
      <w:r w:rsidRPr="006D7CBF">
        <w:rPr>
          <w:rFonts w:asciiTheme="minorHAnsi" w:hAnsiTheme="minorHAnsi"/>
          <w:sz w:val="22"/>
          <w:szCs w:val="22"/>
        </w:rPr>
        <w:t>brak elementów ws</w:t>
      </w:r>
      <w:r>
        <w:rPr>
          <w:rFonts w:asciiTheme="minorHAnsi" w:hAnsiTheme="minorHAnsi"/>
          <w:sz w:val="22"/>
          <w:szCs w:val="22"/>
        </w:rPr>
        <w:t>kazanych</w:t>
      </w:r>
      <w:r>
        <w:rPr>
          <w:rFonts w:asciiTheme="minorHAnsi" w:hAnsiTheme="minorHAnsi"/>
          <w:sz w:val="22"/>
          <w:szCs w:val="22"/>
        </w:rPr>
        <w:br/>
        <w:t xml:space="preserve">w art. 21 ust. 1 ustaw </w:t>
      </w:r>
      <w:r w:rsidRPr="006D7CBF">
        <w:rPr>
          <w:rFonts w:asciiTheme="minorHAnsi" w:hAnsiTheme="minorHAnsi"/>
          <w:sz w:val="22"/>
          <w:szCs w:val="22"/>
        </w:rPr>
        <w:t>o rachunkowości tzn. daty ujęcia w księgach rachunkowych, wartości, stwierdzenia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6D7CBF">
        <w:rPr>
          <w:rFonts w:asciiTheme="minorHAnsi" w:hAnsiTheme="minorHAnsi"/>
          <w:sz w:val="22"/>
          <w:szCs w:val="22"/>
        </w:rPr>
        <w:t>sprawdzenia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6D7CBF">
        <w:rPr>
          <w:rFonts w:asciiTheme="minorHAnsi" w:hAnsiTheme="minorHAnsi"/>
          <w:sz w:val="22"/>
          <w:szCs w:val="22"/>
        </w:rPr>
        <w:t>i zakwalifikowania dowodu do ujęcia w danym okresie sprawozdawczym, podpisu osoby odpowiedzialnej za te wskazania. Na zestawieniach wpłat „wirtualnych” (masowe płatności - wpłaty za czynsze) stwierdzono bra</w:t>
      </w:r>
      <w:r>
        <w:rPr>
          <w:rFonts w:asciiTheme="minorHAnsi" w:hAnsiTheme="minorHAnsi"/>
          <w:sz w:val="22"/>
          <w:szCs w:val="22"/>
        </w:rPr>
        <w:t xml:space="preserve">k dekretów zarówno ręcznych jak </w:t>
      </w:r>
      <w:r w:rsidRPr="006D7CBF">
        <w:rPr>
          <w:rFonts w:asciiTheme="minorHAnsi" w:hAnsiTheme="minorHAnsi"/>
          <w:sz w:val="22"/>
          <w:szCs w:val="22"/>
        </w:rPr>
        <w:t xml:space="preserve">i komputerowych.  </w:t>
      </w:r>
    </w:p>
    <w:p w14:paraId="5406F7C0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>Wniosek pokontrolny nr</w:t>
      </w:r>
      <w:r>
        <w:rPr>
          <w:rFonts w:asciiTheme="minorHAnsi" w:hAnsiTheme="minorHAnsi"/>
          <w:b/>
          <w:sz w:val="22"/>
          <w:szCs w:val="22"/>
        </w:rPr>
        <w:t xml:space="preserve"> 10</w:t>
      </w:r>
    </w:p>
    <w:p w14:paraId="2A5B7664" w14:textId="77777777" w:rsidR="00E03BB8" w:rsidRPr="008529D3" w:rsidRDefault="00E03BB8" w:rsidP="00E03BB8">
      <w:pPr>
        <w:jc w:val="both"/>
        <w:rPr>
          <w:rFonts w:eastAsia="Calibri"/>
        </w:rPr>
      </w:pPr>
      <w:r w:rsidRPr="008529D3">
        <w:rPr>
          <w:rFonts w:eastAsia="Calibri"/>
        </w:rPr>
        <w:t>W dalszej działalności jednostki dokonywać dekretacji dokumentów  zgodnie z art. 21 ustawą</w:t>
      </w:r>
      <w:r w:rsidRPr="008529D3">
        <w:rPr>
          <w:rFonts w:eastAsia="Calibri"/>
        </w:rPr>
        <w:br/>
        <w:t>o rachunkowości</w:t>
      </w:r>
      <w:r w:rsidRPr="008529D3">
        <w:t xml:space="preserve">  (</w:t>
      </w:r>
      <w:proofErr w:type="spellStart"/>
      <w:r w:rsidRPr="008529D3">
        <w:rPr>
          <w:rFonts w:eastAsia="Calibri"/>
        </w:rPr>
        <w:t>t.j</w:t>
      </w:r>
      <w:proofErr w:type="spellEnd"/>
      <w:r w:rsidRPr="008529D3">
        <w:rPr>
          <w:rFonts w:eastAsia="Calibri"/>
        </w:rPr>
        <w:t>. Dz.U. z 2021 r. poz.217).</w:t>
      </w:r>
    </w:p>
    <w:p w14:paraId="11D9948D" w14:textId="77777777" w:rsidR="00E03BB8" w:rsidRPr="006D7CBF" w:rsidRDefault="00E03BB8" w:rsidP="00E03BB8">
      <w:pPr>
        <w:pStyle w:val="Standard"/>
        <w:jc w:val="both"/>
        <w:rPr>
          <w:rFonts w:asciiTheme="minorHAnsi" w:hAnsiTheme="minorHAnsi"/>
          <w:color w:val="000000"/>
          <w:sz w:val="22"/>
          <w:szCs w:val="22"/>
        </w:rPr>
      </w:pPr>
      <w:r w:rsidRPr="006D7CBF">
        <w:rPr>
          <w:rFonts w:asciiTheme="minorHAnsi" w:hAnsiTheme="minorHAnsi"/>
          <w:sz w:val="22"/>
          <w:szCs w:val="22"/>
        </w:rPr>
        <w:t xml:space="preserve">W Spółce dokumenty potwierdzające dokonanie operacji gospodarczej w większości przypadków posiadały zatwierdzenie pod względem formalno – rachunkowym oraz merytorycznym. </w:t>
      </w:r>
      <w:r w:rsidRPr="006D7CBF">
        <w:rPr>
          <w:rFonts w:asciiTheme="minorHAnsi" w:hAnsiTheme="minorHAnsi"/>
          <w:bCs/>
          <w:sz w:val="22"/>
          <w:szCs w:val="22"/>
        </w:rPr>
        <w:t xml:space="preserve">Pod względem merytorycznym dokumenty opisywane są przez Kierowników Działu. Na pieczątce dotyczącej sprawdzenia pod względem merytorycznym i formalno – rachunkowym widnieją podpisy Głównej Księgowej i Prezesa. </w:t>
      </w:r>
      <w:r w:rsidRPr="006D7CBF">
        <w:rPr>
          <w:rFonts w:asciiTheme="minorHAnsi" w:hAnsiTheme="minorHAnsi"/>
          <w:bCs/>
          <w:color w:val="000000"/>
          <w:sz w:val="22"/>
          <w:szCs w:val="22"/>
        </w:rPr>
        <w:t>Podczas kontroli nie stwierdzono wskazania osób odpowiedzialnych za dokonywanie powyższego zatwierdzania oraz wzorów podpisów w wewnętrznych dokumentach Spółki.</w:t>
      </w:r>
    </w:p>
    <w:p w14:paraId="63249DDE" w14:textId="77777777" w:rsidR="00E03BB8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>Wniosek pokontrolny nr</w:t>
      </w:r>
      <w:r>
        <w:rPr>
          <w:rFonts w:asciiTheme="minorHAnsi" w:hAnsiTheme="minorHAnsi"/>
          <w:b/>
          <w:sz w:val="22"/>
          <w:szCs w:val="22"/>
        </w:rPr>
        <w:t xml:space="preserve"> 11</w:t>
      </w:r>
    </w:p>
    <w:p w14:paraId="0EC933C7" w14:textId="77777777" w:rsidR="00E03BB8" w:rsidRPr="006D7CBF" w:rsidRDefault="00E03BB8" w:rsidP="00E03BB8">
      <w:pPr>
        <w:jc w:val="both"/>
      </w:pPr>
      <w:r>
        <w:t>W wewnętrznych dokumentach wskazać osoby odpowiedzialne za zatwierdzanie dokumentów pod względem merytorycznym oraz formalno – rachunkowym oraz opracować kartę wzorów podpisów.</w:t>
      </w:r>
    </w:p>
    <w:p w14:paraId="57D422DF" w14:textId="77777777" w:rsidR="00E03BB8" w:rsidRPr="006D7CBF" w:rsidRDefault="00E03BB8" w:rsidP="00E03BB8">
      <w:pPr>
        <w:pStyle w:val="Standard"/>
        <w:jc w:val="both"/>
        <w:rPr>
          <w:rFonts w:asciiTheme="minorHAnsi" w:hAnsiTheme="minorHAnsi"/>
          <w:bCs/>
          <w:sz w:val="22"/>
          <w:szCs w:val="22"/>
        </w:rPr>
      </w:pPr>
      <w:r w:rsidRPr="006D7CBF">
        <w:rPr>
          <w:rFonts w:asciiTheme="minorHAnsi" w:hAnsiTheme="minorHAnsi"/>
          <w:bCs/>
          <w:sz w:val="22"/>
          <w:szCs w:val="22"/>
        </w:rPr>
        <w:t>Kontroli poddano karty ewidencyjne wyposażenia pracowników w odzież roboczą i obuwie robocze, które prowadzone są niezgodnie z przyjętymi w załączniku nr 1 do Zarządzenia</w:t>
      </w:r>
      <w:r w:rsidRPr="006D7CBF">
        <w:rPr>
          <w:rFonts w:asciiTheme="minorHAnsi" w:hAnsiTheme="minorHAnsi"/>
          <w:bCs/>
          <w:sz w:val="22"/>
          <w:szCs w:val="22"/>
        </w:rPr>
        <w:br/>
        <w:t xml:space="preserve">nr 11/16 Prezesa KTBS Sp. z o.o. z dnia 25.10.2016 r. przydziałem odzieży roboczej oraz obuwia roboczego. Z kart ewidencyjnych wynika, że pracownikom nie zostały przydzielone wszystkie wymienione w ww. załączniku elementy, dodatkowo pracownicy otrzymali polary oraz nie zachowano wskazanych okresów używalności np. obuwie robocze dla pracownika gospodarczego, czapka ocieplana dla konserwatora, kurtka przeciwdeszczowa dla pracownika gospodarczego i konserwatora. </w:t>
      </w:r>
    </w:p>
    <w:p w14:paraId="004AAD17" w14:textId="77777777" w:rsidR="00E03BB8" w:rsidRPr="006D7CBF" w:rsidRDefault="00E03BB8" w:rsidP="00E03B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12</w:t>
      </w:r>
    </w:p>
    <w:p w14:paraId="4BDF0A4B" w14:textId="77777777" w:rsidR="00E03BB8" w:rsidRPr="006D7CBF" w:rsidRDefault="00E03BB8" w:rsidP="00E03BB8">
      <w:pPr>
        <w:spacing w:after="0" w:line="240" w:lineRule="auto"/>
        <w:jc w:val="both"/>
        <w:rPr>
          <w:b/>
        </w:rPr>
      </w:pPr>
      <w:r w:rsidRPr="0081421D">
        <w:t>Pracownikom przydzielać składniki przewidziane w tabeli</w:t>
      </w:r>
      <w:r>
        <w:t xml:space="preserve"> </w:t>
      </w:r>
      <w:r w:rsidRPr="0081421D">
        <w:t xml:space="preserve">norm </w:t>
      </w:r>
      <w:r w:rsidRPr="0081421D">
        <w:rPr>
          <w:color w:val="000000" w:themeColor="text1"/>
        </w:rPr>
        <w:t xml:space="preserve">przydziału odzieży i obuwia roboczego, stanowiącej załącznik nr 1 do Zarządzenia </w:t>
      </w:r>
      <w:r w:rsidRPr="006D7CBF">
        <w:rPr>
          <w:bCs/>
        </w:rPr>
        <w:t>nr 11/16 Prezesa KTBS Sp. z o.o. z dnia 25.10.2016 r</w:t>
      </w:r>
      <w:r>
        <w:rPr>
          <w:bCs/>
        </w:rPr>
        <w:t>.</w:t>
      </w:r>
    </w:p>
    <w:p w14:paraId="469ACF44" w14:textId="77777777" w:rsidR="00E03BB8" w:rsidRPr="006D7CBF" w:rsidRDefault="00E03BB8" w:rsidP="00E03BB8">
      <w:pPr>
        <w:spacing w:after="0" w:line="240" w:lineRule="auto"/>
        <w:rPr>
          <w:b/>
        </w:rPr>
      </w:pPr>
    </w:p>
    <w:p w14:paraId="3C0E3AC5" w14:textId="77777777" w:rsidR="00E03BB8" w:rsidRDefault="00E03BB8" w:rsidP="00E03BB8">
      <w:pPr>
        <w:tabs>
          <w:tab w:val="left" w:pos="9072"/>
        </w:tabs>
        <w:spacing w:after="0" w:line="240" w:lineRule="auto"/>
        <w:jc w:val="both"/>
        <w:rPr>
          <w:b/>
        </w:rPr>
      </w:pPr>
    </w:p>
    <w:p w14:paraId="08F173F5" w14:textId="77777777" w:rsidR="00E03BB8" w:rsidRDefault="00E03BB8" w:rsidP="00E03BB8">
      <w:pPr>
        <w:tabs>
          <w:tab w:val="left" w:pos="9072"/>
        </w:tabs>
        <w:spacing w:after="0" w:line="240" w:lineRule="auto"/>
        <w:jc w:val="both"/>
        <w:rPr>
          <w:b/>
        </w:rPr>
      </w:pPr>
    </w:p>
    <w:p w14:paraId="31FA300F" w14:textId="77777777" w:rsidR="00E03BB8" w:rsidRDefault="00E03BB8" w:rsidP="00E03BB8">
      <w:pPr>
        <w:tabs>
          <w:tab w:val="left" w:pos="9072"/>
        </w:tabs>
        <w:spacing w:after="0" w:line="240" w:lineRule="auto"/>
        <w:jc w:val="both"/>
        <w:rPr>
          <w:b/>
        </w:rPr>
      </w:pPr>
    </w:p>
    <w:p w14:paraId="66126FD0" w14:textId="77777777" w:rsidR="00E03BB8" w:rsidRDefault="00E03BB8" w:rsidP="00A40025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b/>
          <w:bCs/>
          <w:sz w:val="24"/>
        </w:rPr>
      </w:pPr>
    </w:p>
    <w:sectPr w:rsidR="00E03BB8" w:rsidSect="00CE47E8"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33F3" w14:textId="77777777" w:rsidR="00C253C0" w:rsidRDefault="00C253C0" w:rsidP="001E0808">
      <w:pPr>
        <w:spacing w:after="0" w:line="240" w:lineRule="auto"/>
      </w:pPr>
      <w:r>
        <w:separator/>
      </w:r>
    </w:p>
  </w:endnote>
  <w:endnote w:type="continuationSeparator" w:id="0">
    <w:p w14:paraId="2EE0D577" w14:textId="77777777" w:rsidR="00C253C0" w:rsidRDefault="00C253C0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6E20" w14:textId="77777777" w:rsidR="00C253C0" w:rsidRDefault="00C253C0" w:rsidP="001E0808">
      <w:pPr>
        <w:spacing w:after="0" w:line="240" w:lineRule="auto"/>
      </w:pPr>
      <w:r>
        <w:separator/>
      </w:r>
    </w:p>
  </w:footnote>
  <w:footnote w:type="continuationSeparator" w:id="0">
    <w:p w14:paraId="72A83A3D" w14:textId="77777777" w:rsidR="00C253C0" w:rsidRDefault="00C253C0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DF"/>
    <w:multiLevelType w:val="hybridMultilevel"/>
    <w:tmpl w:val="E366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F12"/>
    <w:multiLevelType w:val="singleLevel"/>
    <w:tmpl w:val="5BBA4A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2"/>
        <w:szCs w:val="22"/>
      </w:rPr>
    </w:lvl>
  </w:abstractNum>
  <w:abstractNum w:abstractNumId="3" w15:restartNumberingAfterBreak="0">
    <w:nsid w:val="2C4A3BEC"/>
    <w:multiLevelType w:val="singleLevel"/>
    <w:tmpl w:val="386A9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682726"/>
    <w:multiLevelType w:val="hybridMultilevel"/>
    <w:tmpl w:val="262AA14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1E27486"/>
    <w:multiLevelType w:val="hybridMultilevel"/>
    <w:tmpl w:val="A4D4E290"/>
    <w:lvl w:ilvl="0" w:tplc="CF940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E545E"/>
    <w:multiLevelType w:val="hybridMultilevel"/>
    <w:tmpl w:val="CD8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121E7"/>
    <w:rsid w:val="00022748"/>
    <w:rsid w:val="00027130"/>
    <w:rsid w:val="000309F2"/>
    <w:rsid w:val="0008788D"/>
    <w:rsid w:val="000932C3"/>
    <w:rsid w:val="000C083B"/>
    <w:rsid w:val="000F35E7"/>
    <w:rsid w:val="000F4D33"/>
    <w:rsid w:val="00127569"/>
    <w:rsid w:val="00172A87"/>
    <w:rsid w:val="001735EC"/>
    <w:rsid w:val="00176802"/>
    <w:rsid w:val="001E0808"/>
    <w:rsid w:val="00207712"/>
    <w:rsid w:val="0021609A"/>
    <w:rsid w:val="00237AAF"/>
    <w:rsid w:val="002724D6"/>
    <w:rsid w:val="002763F3"/>
    <w:rsid w:val="00276EBC"/>
    <w:rsid w:val="00277DA4"/>
    <w:rsid w:val="002872C4"/>
    <w:rsid w:val="002E3449"/>
    <w:rsid w:val="003164DA"/>
    <w:rsid w:val="00331C9A"/>
    <w:rsid w:val="003321C9"/>
    <w:rsid w:val="00334863"/>
    <w:rsid w:val="003575BA"/>
    <w:rsid w:val="003628AF"/>
    <w:rsid w:val="00373C04"/>
    <w:rsid w:val="00381ED3"/>
    <w:rsid w:val="003B3E50"/>
    <w:rsid w:val="003D1A58"/>
    <w:rsid w:val="003E70D3"/>
    <w:rsid w:val="003E7778"/>
    <w:rsid w:val="00402A33"/>
    <w:rsid w:val="00452143"/>
    <w:rsid w:val="004A31AC"/>
    <w:rsid w:val="004A6340"/>
    <w:rsid w:val="004A7C1A"/>
    <w:rsid w:val="004B09A5"/>
    <w:rsid w:val="004C76E8"/>
    <w:rsid w:val="004D6DCB"/>
    <w:rsid w:val="004F429A"/>
    <w:rsid w:val="005133A2"/>
    <w:rsid w:val="0052043A"/>
    <w:rsid w:val="00523C3A"/>
    <w:rsid w:val="00524300"/>
    <w:rsid w:val="0053052B"/>
    <w:rsid w:val="00532348"/>
    <w:rsid w:val="0055197E"/>
    <w:rsid w:val="005533AF"/>
    <w:rsid w:val="00590BD1"/>
    <w:rsid w:val="00591A18"/>
    <w:rsid w:val="005B1DB2"/>
    <w:rsid w:val="005B394E"/>
    <w:rsid w:val="005D107A"/>
    <w:rsid w:val="005D583F"/>
    <w:rsid w:val="005D6D47"/>
    <w:rsid w:val="005E09A4"/>
    <w:rsid w:val="006263F4"/>
    <w:rsid w:val="0062700D"/>
    <w:rsid w:val="00631A9E"/>
    <w:rsid w:val="00632C4F"/>
    <w:rsid w:val="00637D54"/>
    <w:rsid w:val="0068455F"/>
    <w:rsid w:val="0068620C"/>
    <w:rsid w:val="006E1F7B"/>
    <w:rsid w:val="0070510C"/>
    <w:rsid w:val="007748FB"/>
    <w:rsid w:val="00787635"/>
    <w:rsid w:val="007B40BF"/>
    <w:rsid w:val="007E01E1"/>
    <w:rsid w:val="007F5F26"/>
    <w:rsid w:val="0082387F"/>
    <w:rsid w:val="00826097"/>
    <w:rsid w:val="00864F1D"/>
    <w:rsid w:val="00890761"/>
    <w:rsid w:val="009151FD"/>
    <w:rsid w:val="00940C73"/>
    <w:rsid w:val="00943FF4"/>
    <w:rsid w:val="0094564C"/>
    <w:rsid w:val="0097117E"/>
    <w:rsid w:val="00973E82"/>
    <w:rsid w:val="009A21C6"/>
    <w:rsid w:val="009A316B"/>
    <w:rsid w:val="009B2193"/>
    <w:rsid w:val="009C3146"/>
    <w:rsid w:val="009F7228"/>
    <w:rsid w:val="00A16B67"/>
    <w:rsid w:val="00A40025"/>
    <w:rsid w:val="00A40B2C"/>
    <w:rsid w:val="00A42652"/>
    <w:rsid w:val="00A90266"/>
    <w:rsid w:val="00A91FDA"/>
    <w:rsid w:val="00AB0AB3"/>
    <w:rsid w:val="00AB5517"/>
    <w:rsid w:val="00AC5AA4"/>
    <w:rsid w:val="00B106EA"/>
    <w:rsid w:val="00B50151"/>
    <w:rsid w:val="00B52DC2"/>
    <w:rsid w:val="00B55457"/>
    <w:rsid w:val="00B914F6"/>
    <w:rsid w:val="00BA44C9"/>
    <w:rsid w:val="00BB1DCC"/>
    <w:rsid w:val="00BF0D3F"/>
    <w:rsid w:val="00C03DA4"/>
    <w:rsid w:val="00C17B59"/>
    <w:rsid w:val="00C253C0"/>
    <w:rsid w:val="00C64058"/>
    <w:rsid w:val="00C93736"/>
    <w:rsid w:val="00CE47E8"/>
    <w:rsid w:val="00CE6688"/>
    <w:rsid w:val="00CF741D"/>
    <w:rsid w:val="00D13A9A"/>
    <w:rsid w:val="00D50CAD"/>
    <w:rsid w:val="00D95FE7"/>
    <w:rsid w:val="00DA06DB"/>
    <w:rsid w:val="00DC24F5"/>
    <w:rsid w:val="00DC52BC"/>
    <w:rsid w:val="00DC7922"/>
    <w:rsid w:val="00DD3CC5"/>
    <w:rsid w:val="00DD631F"/>
    <w:rsid w:val="00DE4E4E"/>
    <w:rsid w:val="00E03BB8"/>
    <w:rsid w:val="00E45BB4"/>
    <w:rsid w:val="00E4797F"/>
    <w:rsid w:val="00E86FFF"/>
    <w:rsid w:val="00F00524"/>
    <w:rsid w:val="00F27FB1"/>
    <w:rsid w:val="00F55599"/>
    <w:rsid w:val="00F92BF5"/>
    <w:rsid w:val="00FA0DCD"/>
    <w:rsid w:val="00FA1AB5"/>
    <w:rsid w:val="00FC4A36"/>
    <w:rsid w:val="00FF0FD5"/>
    <w:rsid w:val="00FF506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6EF9"/>
  <w15:docId w15:val="{DCC0055A-7A0D-4416-9159-E970869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31F"/>
  </w:style>
  <w:style w:type="paragraph" w:styleId="Nagwek1">
    <w:name w:val="heading 1"/>
    <w:basedOn w:val="Normalny"/>
    <w:next w:val="Normalny"/>
    <w:link w:val="Nagwek1Znak"/>
    <w:uiPriority w:val="99"/>
    <w:qFormat/>
    <w:rsid w:val="005533AF"/>
    <w:pPr>
      <w:keepNext/>
      <w:tabs>
        <w:tab w:val="num" w:pos="2340"/>
      </w:tabs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F0D3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D3F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0D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0D3F"/>
    <w:rPr>
      <w:sz w:val="16"/>
      <w:szCs w:val="16"/>
    </w:rPr>
  </w:style>
  <w:style w:type="character" w:styleId="Pogrubienie">
    <w:name w:val="Strong"/>
    <w:uiPriority w:val="22"/>
    <w:qFormat/>
    <w:rsid w:val="005533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5533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6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6B6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27569"/>
    <w:pPr>
      <w:ind w:left="720"/>
      <w:contextualSpacing/>
    </w:pPr>
  </w:style>
  <w:style w:type="character" w:customStyle="1" w:styleId="hgkelc">
    <w:name w:val="hgkelc"/>
    <w:basedOn w:val="Domylnaczcionkaakapitu"/>
    <w:rsid w:val="00C03DA4"/>
  </w:style>
  <w:style w:type="character" w:customStyle="1" w:styleId="markedcontent">
    <w:name w:val="markedcontent"/>
    <w:basedOn w:val="Domylnaczcionkaakapitu"/>
    <w:rsid w:val="00C03DA4"/>
  </w:style>
  <w:style w:type="paragraph" w:customStyle="1" w:styleId="Standard">
    <w:name w:val="Standard"/>
    <w:rsid w:val="00E03B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31B1-26E2-4DBA-8382-6FCCC842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Mariusz Osiński</cp:lastModifiedBy>
  <cp:revision>2</cp:revision>
  <cp:lastPrinted>2021-04-19T05:34:00Z</cp:lastPrinted>
  <dcterms:created xsi:type="dcterms:W3CDTF">2021-09-23T05:35:00Z</dcterms:created>
  <dcterms:modified xsi:type="dcterms:W3CDTF">2021-09-23T05:35:00Z</dcterms:modified>
</cp:coreProperties>
</file>